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spacing w:before="0" w:after="113"/>
        <w:jc w:val="center"/>
        <w:rPr>
          <w:rFonts w:ascii="Calibri" w:hAnsi="Calibri" w:eastAsia="Rasa" w:cs="Rasa"/>
          <w:bCs/>
          <w:color w:val="000000"/>
          <w:sz w:val="24"/>
          <w:szCs w:val="24"/>
        </w:rPr>
      </w:pPr>
      <w:r>
        <w:rPr>
          <w:rFonts w:eastAsia="Rasa" w:cs="Rasa" w:ascii="Calibri" w:hAnsi="Calibri"/>
          <w:bCs/>
          <w:color w:val="000000"/>
          <w:sz w:val="24"/>
          <w:szCs w:val="24"/>
        </w:rPr>
        <w:drawing>
          <wp:anchor behindDoc="0" distT="0" distB="0" distL="0" distR="0" simplePos="0" locked="0" layoutInCell="0" allowOverlap="1" relativeHeight="3">
            <wp:simplePos x="0" y="0"/>
            <wp:positionH relativeFrom="column">
              <wp:posOffset>2773680</wp:posOffset>
            </wp:positionH>
            <wp:positionV relativeFrom="paragraph">
              <wp:posOffset>23495</wp:posOffset>
            </wp:positionV>
            <wp:extent cx="763905" cy="756920"/>
            <wp:effectExtent l="0" t="0" r="0" b="0"/>
            <wp:wrapSquare wrapText="largest"/>
            <wp:docPr id="1" name="Figura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905" cy="756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/>
          <w:b w:val="false"/>
          <w:bCs w:val="false"/>
          <w:sz w:val="24"/>
          <w:szCs w:val="24"/>
        </w:rPr>
      </w:pPr>
      <w:r>
        <w:rPr>
          <w:rFonts w:ascii="Calibri" w:hAnsi="Calibri"/>
          <w:b w:val="false"/>
          <w:bCs w:val="false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/>
          <w:b w:val="false"/>
          <w:bCs w:val="false"/>
          <w:sz w:val="24"/>
          <w:szCs w:val="24"/>
        </w:rPr>
      </w:pPr>
      <w:r>
        <w:rPr>
          <w:rFonts w:ascii="Calibri" w:hAnsi="Calibri"/>
          <w:b w:val="false"/>
          <w:bCs w:val="false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/>
          <w:b w:val="false"/>
          <w:bCs w:val="false"/>
          <w:sz w:val="24"/>
          <w:szCs w:val="24"/>
        </w:rPr>
      </w:pPr>
      <w:r>
        <w:rPr>
          <w:rFonts w:ascii="Calibri" w:hAnsi="Calibri"/>
          <w:b w:val="false"/>
          <w:bCs w:val="false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/>
          <w:b w:val="false"/>
          <w:bCs w:val="false"/>
          <w:sz w:val="24"/>
          <w:szCs w:val="24"/>
        </w:rPr>
      </w:pPr>
      <w:r>
        <w:rPr>
          <w:rFonts w:ascii="Calibri" w:hAnsi="Calibri"/>
          <w:b w:val="false"/>
          <w:bCs w:val="false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 w:eastAsia="Rasa" w:cs="Rasa"/>
          <w:b w:val="false"/>
          <w:bCs w:val="false"/>
          <w:color w:val="000000"/>
          <w:sz w:val="24"/>
          <w:szCs w:val="24"/>
          <w:lang w:eastAsia="ar-SA"/>
        </w:rPr>
      </w:pPr>
      <w:r>
        <w:rPr>
          <w:rFonts w:eastAsia="Rasa" w:cs="Rasa" w:ascii="Calibri" w:hAnsi="Calibri"/>
          <w:b w:val="false"/>
          <w:bCs w:val="false"/>
          <w:color w:val="000000"/>
          <w:sz w:val="24"/>
          <w:szCs w:val="24"/>
          <w:lang w:eastAsia="ar-SA"/>
        </w:rPr>
        <w:t>PODER JUDICIÁRIO</w:t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spacing w:lineRule="atLeast" w:line="200"/>
        <w:jc w:val="center"/>
        <w:rPr>
          <w:rFonts w:ascii="Calibri" w:hAnsi="Calibri"/>
          <w:sz w:val="24"/>
          <w:szCs w:val="24"/>
        </w:rPr>
      </w:pPr>
      <w:r>
        <w:rPr>
          <w:rFonts w:eastAsia="Rasa" w:cs="Rasa" w:ascii="Calibri" w:hAnsi="Calibri" w:asciiTheme="minorHAnsi" w:hAnsiTheme="minorHAnsi"/>
          <w:b w:val="false"/>
          <w:bCs w:val="false"/>
          <w:color w:val="000000"/>
          <w:sz w:val="24"/>
          <w:szCs w:val="24"/>
        </w:rPr>
        <w:t>TRIBUNAL REGIONAL DO TRABALHO DA 16ª REGIÃO</w:t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spacing w:lineRule="atLeast" w:line="200"/>
        <w:jc w:val="center"/>
        <w:rPr>
          <w:rFonts w:ascii="Calibri" w:hAnsi="Calibri" w:eastAsia="Rasa" w:cs="Rasa" w:asciiTheme="minorHAnsi" w:hAnsiTheme="minorHAnsi"/>
          <w:color w:val="000000"/>
          <w:sz w:val="24"/>
          <w:szCs w:val="24"/>
        </w:rPr>
      </w:pPr>
      <w:r>
        <w:rPr>
          <w:rFonts w:eastAsia="Rasa" w:cs="Rasa" w:ascii="Calibri" w:hAnsi="Calibri"/>
          <w:color w:val="000000"/>
          <w:sz w:val="24"/>
          <w:szCs w:val="24"/>
        </w:rPr>
      </w:r>
    </w:p>
    <w:p>
      <w:pPr>
        <w:pStyle w:val="Normal"/>
        <w:tabs>
          <w:tab w:val="clear" w:pos="708"/>
          <w:tab w:val="left" w:pos="2160" w:leader="none"/>
        </w:tabs>
        <w:jc w:val="left"/>
        <w:rPr>
          <w:rFonts w:ascii="Calibri" w:hAnsi="Calibri"/>
          <w:sz w:val="24"/>
          <w:szCs w:val="24"/>
        </w:rPr>
      </w:pPr>
      <w:r>
        <w:rPr>
          <w:rFonts w:cs="Century Gothic" w:ascii="Calibri" w:hAnsi="Calibri" w:asciiTheme="minorHAnsi" w:hAnsiTheme="minorHAnsi"/>
          <w:b/>
          <w:bCs/>
          <w:sz w:val="24"/>
          <w:szCs w:val="24"/>
        </w:rPr>
        <w:t>PORTARIA D.G. Nº 82</w:t>
      </w:r>
      <w:r>
        <w:rPr>
          <w:rFonts w:cs="Century Gothic" w:ascii="Calibri" w:hAnsi="Calibri" w:asciiTheme="minorHAnsi" w:hAnsiTheme="minorHAnsi"/>
          <w:b/>
          <w:bCs/>
          <w:sz w:val="24"/>
          <w:szCs w:val="24"/>
        </w:rPr>
        <w:t>3</w:t>
      </w:r>
      <w:r>
        <w:rPr>
          <w:rFonts w:cs="Century Gothic" w:ascii="Calibri" w:hAnsi="Calibri" w:asciiTheme="minorHAnsi" w:hAnsiTheme="minorHAnsi"/>
          <w:b/>
          <w:bCs/>
          <w:sz w:val="24"/>
          <w:szCs w:val="24"/>
        </w:rPr>
        <w:t>/2017</w:t>
      </w:r>
    </w:p>
    <w:p>
      <w:pPr>
        <w:pStyle w:val="Normal"/>
        <w:tabs>
          <w:tab w:val="clear" w:pos="708"/>
          <w:tab w:val="left" w:pos="2160" w:leader="none"/>
        </w:tabs>
        <w:jc w:val="right"/>
        <w:rPr>
          <w:rFonts w:ascii="Calibri" w:hAnsi="Calibri" w:cs="Century Gothic" w:asciiTheme="minorHAnsi" w:hAnsiTheme="minorHAnsi"/>
          <w:b/>
          <w:sz w:val="24"/>
          <w:szCs w:val="24"/>
        </w:rPr>
      </w:pPr>
      <w:r>
        <w:rPr>
          <w:rFonts w:cs="Century Gothic" w:ascii="Calibri" w:hAnsi="Calibri"/>
          <w:b/>
          <w:sz w:val="24"/>
          <w:szCs w:val="24"/>
        </w:rPr>
      </w:r>
    </w:p>
    <w:p>
      <w:pPr>
        <w:pStyle w:val="Normal"/>
        <w:widowControl/>
        <w:tabs>
          <w:tab w:val="clear" w:pos="708"/>
          <w:tab w:val="left" w:pos="2160" w:leader="none"/>
          <w:tab w:val="left" w:pos="5100" w:leader="none"/>
          <w:tab w:val="left" w:pos="5638" w:leader="none"/>
        </w:tabs>
        <w:suppressAutoHyphens w:val="true"/>
        <w:bidi w:val="0"/>
        <w:spacing w:lineRule="auto" w:line="240" w:before="0" w:after="0"/>
        <w:ind w:hanging="0" w:left="5669" w:right="0"/>
        <w:jc w:val="both"/>
        <w:rPr/>
      </w:pPr>
      <w:r>
        <w:rPr>
          <w:rFonts w:cs="Century Gothic" w:ascii="Calibri" w:hAnsi="Calibri" w:asciiTheme="minorHAnsi" w:hAnsiTheme="minorHAnsi"/>
          <w:sz w:val="24"/>
          <w:szCs w:val="24"/>
        </w:rPr>
        <w:t xml:space="preserve">(Texto compilado a partir da redação dada pela </w:t>
      </w:r>
      <w:hyperlink r:id="rId3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single"/>
            <w:lang w:val="pt-BR" w:eastAsia="zh-CN" w:bidi="ar-SA"/>
          </w:rPr>
          <w:t>Portaria DG nº 930/2017 de 25 de outubro de 2017</w:t>
        </w:r>
      </w:hyperlink>
      <w:r>
        <w:rPr>
          <w:rStyle w:val="Hyperlink"/>
          <w:rFonts w:eastAsia="Times New Roman" w:cs="Century Gothic" w:ascii="Calibri" w:hAnsi="Calibri"/>
          <w:b w:val="false"/>
          <w:i w:val="false"/>
          <w:caps w:val="false"/>
          <w:smallCaps w:val="false"/>
          <w:color w:val="000000"/>
          <w:spacing w:val="0"/>
          <w:kern w:val="0"/>
          <w:sz w:val="24"/>
          <w:szCs w:val="24"/>
          <w:u w:val="none"/>
          <w:lang w:val="pt-BR" w:eastAsia="ar-SA" w:bidi="ar-SA"/>
        </w:rPr>
        <w:t>)</w:t>
      </w:r>
    </w:p>
    <w:p>
      <w:pPr>
        <w:pStyle w:val="BodyText"/>
        <w:tabs>
          <w:tab w:val="clear" w:pos="708"/>
          <w:tab w:val="left" w:pos="2160" w:leader="none"/>
        </w:tabs>
        <w:ind w:firstLine="1417"/>
        <w:jc w:val="both"/>
        <w:rPr>
          <w:rFonts w:ascii="Calibri" w:hAnsi="Calibri" w:cs="Century Gothic" w:asciiTheme="minorHAnsi" w:hAnsiTheme="minorHAnsi"/>
          <w:b w:val="false"/>
          <w:i w:val="false"/>
          <w:i w:val="false"/>
          <w:caps w:val="false"/>
          <w:smallCaps w:val="false"/>
          <w:color w:val="000000"/>
          <w:sz w:val="24"/>
          <w:szCs w:val="24"/>
        </w:rPr>
      </w:pPr>
      <w:r>
        <w:rPr>
          <w:rFonts w:cs="Century Gothic" w:ascii="Calibri" w:hAnsi="Calibri"/>
          <w:b w:val="false"/>
          <w:i w:val="false"/>
          <w:caps w:val="false"/>
          <w:smallCaps w:val="false"/>
          <w:color w:val="000000"/>
          <w:sz w:val="24"/>
          <w:szCs w:val="24"/>
        </w:rPr>
      </w:r>
    </w:p>
    <w:p>
      <w:pPr>
        <w:pStyle w:val="WW-Padro12"/>
        <w:spacing w:lineRule="atLeast" w:line="200"/>
        <w:ind w:firstLine="1417" w:left="0" w:right="0"/>
        <w:jc w:val="both"/>
        <w:textAlignment w:val="baseline"/>
        <w:rPr>
          <w:rFonts w:ascii="Calibri" w:hAnsi="Calibri"/>
          <w:sz w:val="24"/>
          <w:szCs w:val="24"/>
        </w:rPr>
      </w:pPr>
      <w:r>
        <w:rPr>
          <w:rFonts w:eastAsia=";@Malgun Gothic Semilight" w:cs="Calibri" w:ascii="Calibri" w:hAnsi="Calibri"/>
          <w:b/>
          <w:color w:val="auto"/>
          <w:kern w:val="2"/>
          <w:sz w:val="24"/>
          <w:szCs w:val="24"/>
          <w:lang w:val="pt-BR" w:eastAsia="zh-CN" w:bidi="hi-IN"/>
        </w:rPr>
        <w:t>A</w:t>
      </w:r>
      <w:r>
        <w:rPr>
          <w:rFonts w:cs="Calibri" w:ascii="Calibri" w:hAnsi="Calibri"/>
          <w:b/>
          <w:sz w:val="24"/>
          <w:szCs w:val="24"/>
        </w:rPr>
        <w:t xml:space="preserve"> DIRETORA-GERAL DO TRIBUNAL REGIONAL DO</w:t>
      </w:r>
      <w:r>
        <w:rPr>
          <w:rFonts w:cs="Calibri" w:ascii="Calibri" w:hAnsi="Calibri"/>
          <w:sz w:val="24"/>
          <w:szCs w:val="24"/>
        </w:rPr>
        <w:t xml:space="preserve"> </w:t>
      </w:r>
      <w:r>
        <w:rPr>
          <w:rFonts w:cs="Calibri" w:ascii="Calibri" w:hAnsi="Calibri"/>
          <w:b/>
          <w:sz w:val="24"/>
          <w:szCs w:val="24"/>
        </w:rPr>
        <w:t>TRABALHO DA DÉCIMA SEXTA REGIÃO</w:t>
      </w:r>
      <w:r>
        <w:rPr>
          <w:rFonts w:cs="Calibri" w:ascii="Calibri" w:hAnsi="Calibri"/>
          <w:sz w:val="24"/>
          <w:szCs w:val="24"/>
        </w:rPr>
        <w:t xml:space="preserve">, no uso de suas atribuições legais e regulamentares e tendo em vista o disposto na </w:t>
      </w:r>
      <w:hyperlink r:id="rId4">
        <w:r>
          <w:rPr>
            <w:rStyle w:val="Hyperlink"/>
            <w:rFonts w:cs="Calibri" w:ascii="Calibri" w:hAnsi="Calibri"/>
            <w:color w:val="0000FF"/>
            <w:sz w:val="24"/>
            <w:szCs w:val="24"/>
          </w:rPr>
          <w:t>Portaria GP nº 2 de 4 de janeiro de 2016</w:t>
        </w:r>
      </w:hyperlink>
      <w:r>
        <w:rPr>
          <w:rFonts w:cs="Calibri" w:ascii="Calibri" w:hAnsi="Calibri"/>
          <w:sz w:val="24"/>
          <w:szCs w:val="24"/>
        </w:rPr>
        <w:t>, bem como a Solicitação de Diárias, da Secretaria da Corregedoria, constante no doc. 1, do Protocolo SUAP nº 6934/2017</w:t>
      </w:r>
      <w:r>
        <w:rPr>
          <w:rFonts w:eastAsia="Century Gothic" w:cs="Century Gothic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  <w:t>.</w:t>
      </w:r>
    </w:p>
    <w:p>
      <w:pPr>
        <w:pStyle w:val="Heading2"/>
        <w:numPr>
          <w:ilvl w:val="0"/>
          <w:numId w:val="0"/>
        </w:numPr>
        <w:spacing w:before="0" w:after="0"/>
        <w:ind w:firstLine="1440" w:left="0" w:right="0"/>
        <w:jc w:val="both"/>
        <w:rPr>
          <w:rFonts w:ascii="Calibri" w:hAnsi="Calibri" w:cs="Calibri"/>
          <w:i w:val="false"/>
          <w:i w:val="false"/>
          <w:sz w:val="24"/>
          <w:szCs w:val="24"/>
        </w:rPr>
      </w:pPr>
      <w:r>
        <w:rPr>
          <w:rFonts w:cs="Calibri" w:ascii="Calibri" w:hAnsi="Calibri"/>
          <w:i w:val="false"/>
          <w:sz w:val="24"/>
          <w:szCs w:val="24"/>
        </w:rPr>
      </w:r>
    </w:p>
    <w:p>
      <w:pPr>
        <w:pStyle w:val="Heading2"/>
        <w:numPr>
          <w:ilvl w:val="1"/>
          <w:numId w:val="2"/>
        </w:numPr>
        <w:spacing w:before="0" w:after="0"/>
        <w:ind w:firstLine="1440" w:left="0" w:right="0"/>
        <w:jc w:val="both"/>
        <w:rPr>
          <w:rFonts w:ascii="Calibri" w:hAnsi="Calibri" w:cs="Calibri"/>
          <w:i w:val="false"/>
          <w:i w:val="false"/>
          <w:sz w:val="24"/>
          <w:szCs w:val="24"/>
        </w:rPr>
      </w:pPr>
      <w:r>
        <w:rPr>
          <w:rFonts w:cs="Calibri" w:ascii="Calibri" w:hAnsi="Calibri"/>
          <w:i w:val="false"/>
          <w:sz w:val="24"/>
          <w:szCs w:val="24"/>
        </w:rPr>
        <w:t>R E S O L V E</w:t>
      </w:r>
    </w:p>
    <w:p>
      <w:pPr>
        <w:pStyle w:val="Normal"/>
        <w:spacing w:before="0" w:after="0"/>
        <w:ind w:firstLine="1440" w:left="0" w:right="0"/>
        <w:jc w:val="both"/>
        <w:rPr>
          <w:rFonts w:ascii="Calibri" w:hAnsi="Calibri" w:cs="Calibri"/>
          <w:i w:val="false"/>
          <w:i w:val="false"/>
          <w:sz w:val="24"/>
          <w:szCs w:val="24"/>
        </w:rPr>
      </w:pPr>
      <w:r>
        <w:rPr>
          <w:rFonts w:cs="Calibri" w:ascii="Calibri" w:hAnsi="Calibri"/>
          <w:i w:val="false"/>
          <w:sz w:val="24"/>
          <w:szCs w:val="24"/>
        </w:rPr>
      </w:r>
    </w:p>
    <w:p>
      <w:pPr>
        <w:pStyle w:val="Normal"/>
        <w:suppressAutoHyphens w:val="false"/>
        <w:spacing w:lineRule="auto" w:line="240"/>
        <w:ind w:hanging="0" w:left="0" w:right="0"/>
        <w:jc w:val="both"/>
        <w:rPr>
          <w:rFonts w:ascii="Calibri" w:hAnsi="Calibri" w:cs="Calibri"/>
          <w:sz w:val="24"/>
          <w:szCs w:val="24"/>
        </w:rPr>
      </w:pPr>
      <w:r>
        <w:rPr>
          <w:rFonts w:eastAsia="Times New Roman" w:cs="Calibri" w:ascii="Calibri" w:hAnsi="Calibri"/>
          <w:color w:val="auto"/>
          <w:sz w:val="24"/>
          <w:szCs w:val="24"/>
          <w:lang w:val="pt-BR" w:eastAsia="zh-CN" w:bidi="ar-SA"/>
        </w:rPr>
        <w:tab/>
        <w:tab/>
      </w:r>
      <w:r>
        <w:rPr>
          <w:rStyle w:val="Hyperlink"/>
          <w:rFonts w:eastAsia="Times New Roman" w:cs="Calibri" w:ascii="Calibri" w:hAnsi="Calibri"/>
          <w:color w:val="auto"/>
          <w:sz w:val="24"/>
          <w:szCs w:val="24"/>
          <w:u w:val="none"/>
          <w:lang w:val="pt-BR" w:eastAsia="zh-CN" w:bidi="ar-SA"/>
        </w:rPr>
        <w:t>Art. 1º Autorizar a emissão de bilhetes de passagem aérea para o trecho São Luís/Imperatriz/São Luís e o pagamento de 4½ (quatro e meia) diárias ao Sr. PAULO HENRIQUE DE OLIVEIRA NÓBREGA, Técnico Judiciário – Área Administrativa, FC-05, Matrícula nº 30816149, lotado na Secretaria da Corregedoria, a fim de acompanhar e auxiliar, em tempo integral, a Exma. Sra. Solange Cristina Passos de Castro Cordeiro, Desembargadora Vice-Presidente e Corregedora deste Tribunal, nas Correições Periódicas Ordinárias que ocorrerão nas Varas do Trabalho daquela cidade e no Foro Manuel Alfredo Martins e Rocha, no período de 16 a 20 de outubro de 2017, nos termos dos Editais nºs 20/2017, 21/2017 e 22/2017.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     </w:t>
      </w:r>
      <w:hyperlink r:id="rId5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single"/>
            <w:lang w:val="pt-BR" w:eastAsia="zh-CN" w:bidi="ar-SA"/>
          </w:rPr>
          <w:t>(Redação dada pela Portaria DG nº 930/2017</w:t>
        </w:r>
      </w:hyperlink>
      <w:hyperlink r:id="rId6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none"/>
            <w:lang w:val="pt-BR" w:eastAsia="zh-CN" w:bidi="ar-SA"/>
          </w:rPr>
          <w:t>)</w:t>
        </w:r>
      </w:hyperlink>
    </w:p>
    <w:p>
      <w:pPr>
        <w:pStyle w:val="Normal"/>
        <w:suppressAutoHyphens w:val="false"/>
        <w:spacing w:lineRule="auto" w:line="240"/>
        <w:ind w:hanging="0" w:left="0" w:right="0"/>
        <w:jc w:val="both"/>
        <w:rPr>
          <w:rFonts w:ascii="Calibri" w:hAnsi="Calibri" w:eastAsia="Times New Roman" w:cs="Calibri"/>
          <w:color w:val="auto"/>
          <w:sz w:val="24"/>
          <w:szCs w:val="24"/>
          <w:lang w:val="pt-BR" w:eastAsia="zh-CN" w:bidi="ar-SA"/>
        </w:rPr>
      </w:pPr>
      <w:r>
        <w:rPr>
          <w:rFonts w:eastAsia="Times New Roman" w:cs="Calibri" w:ascii="Calibri" w:hAnsi="Calibri"/>
          <w:color w:val="auto"/>
          <w:sz w:val="24"/>
          <w:szCs w:val="24"/>
          <w:lang w:val="pt-BR" w:eastAsia="zh-CN" w:bidi="ar-SA"/>
        </w:rPr>
      </w:r>
    </w:p>
    <w:p>
      <w:pPr>
        <w:pStyle w:val="Normal"/>
        <w:suppressAutoHyphens w:val="false"/>
        <w:spacing w:lineRule="auto" w:line="240"/>
        <w:ind w:hanging="0" w:left="0" w:right="0"/>
        <w:jc w:val="both"/>
        <w:rPr/>
      </w:pPr>
      <w:r>
        <w:rPr>
          <w:rFonts w:eastAsia="Times New Roman" w:cs="Calibri" w:ascii="Calibri" w:hAnsi="Calibri"/>
          <w:color w:val="auto"/>
          <w:sz w:val="24"/>
          <w:szCs w:val="24"/>
          <w:lang w:val="pt-BR" w:eastAsia="zh-CN" w:bidi="ar-SA"/>
        </w:rPr>
        <w:tab/>
        <w:tab/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Art. 2º Para efeito do disposto no artigo § 2º do art. 7º da </w:t>
      </w:r>
      <w:hyperlink r:id="rId7">
        <w:r>
          <w:rPr>
            <w:rStyle w:val="Hyperlink"/>
            <w:rFonts w:eastAsia="Times New Roman" w:cs="Calibri" w:ascii="Calibri" w:hAnsi="Calibri"/>
            <w:color w:val="0000FF"/>
            <w:kern w:val="2"/>
            <w:sz w:val="24"/>
            <w:szCs w:val="24"/>
            <w:u w:val="single"/>
            <w:lang w:val="pt-BR" w:eastAsia="zh-CN" w:bidi="ar-SA"/>
          </w:rPr>
          <w:t>Portaria GP n° 871/2015</w:t>
        </w:r>
      </w:hyperlink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, 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>o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 servidor acompanhará, em tempo integral, a referida Desembargadora, somente no período de 18 a 20 de outubro de 2017, conforme </w:t>
      </w:r>
      <w:hyperlink r:id="rId8">
        <w:r>
          <w:rPr>
            <w:rStyle w:val="Hyperlink"/>
            <w:rFonts w:eastAsia="Times New Roman" w:cs="Calibri" w:ascii="Calibri" w:hAnsi="Calibri"/>
            <w:color w:val="0000FF"/>
            <w:kern w:val="2"/>
            <w:sz w:val="24"/>
            <w:szCs w:val="24"/>
            <w:u w:val="single"/>
            <w:lang w:val="pt-BR" w:eastAsia="zh-CN" w:bidi="ar-SA"/>
          </w:rPr>
          <w:t>Portaria GP nº 935/2017</w:t>
        </w:r>
      </w:hyperlink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 e </w:t>
      </w:r>
      <w:hyperlink r:id="rId9">
        <w:r>
          <w:rPr>
            <w:rStyle w:val="Hyperlink"/>
            <w:rFonts w:eastAsia="Times New Roman" w:cs="Calibri" w:ascii="Calibri" w:hAnsi="Calibri"/>
            <w:color w:val="0000FF"/>
            <w:kern w:val="2"/>
            <w:sz w:val="24"/>
            <w:szCs w:val="24"/>
            <w:u w:val="single"/>
            <w:lang w:val="pt-BR" w:eastAsia="zh-CN" w:bidi="ar-SA"/>
          </w:rPr>
          <w:t>Portaria GP nº 1012/2017</w:t>
        </w:r>
      </w:hyperlink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 - retificadora (P 6937/2017).     </w:t>
      </w:r>
      <w:hyperlink r:id="rId10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single"/>
            <w:lang w:val="pt-BR" w:eastAsia="zh-CN" w:bidi="ar-SA"/>
          </w:rPr>
          <w:t>(Redação dada pela Portaria DG nº 930/2017</w:t>
        </w:r>
      </w:hyperlink>
      <w:hyperlink r:id="rId11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none"/>
            <w:lang w:val="pt-BR" w:eastAsia="zh-CN" w:bidi="ar-SA"/>
          </w:rPr>
          <w:t>)</w:t>
        </w:r>
      </w:hyperlink>
    </w:p>
    <w:p>
      <w:pPr>
        <w:pStyle w:val="Normal"/>
        <w:suppressAutoHyphens w:val="false"/>
        <w:spacing w:lineRule="auto" w:line="276"/>
        <w:ind w:hanging="0" w:left="0" w:right="0"/>
        <w:jc w:val="both"/>
        <w:rPr/>
      </w:pPr>
      <w:r>
        <w:rPr>
          <w:rStyle w:val="Hyperlink"/>
          <w:rFonts w:eastAsia=";@Malgun Gothic Semilight" w:cs="Calibri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  <w:tab/>
        <w:tab/>
        <w:tab/>
        <w:t xml:space="preserve">     </w:t>
      </w:r>
    </w:p>
    <w:p>
      <w:pPr>
        <w:pStyle w:val="Normal"/>
        <w:widowControl/>
        <w:suppressAutoHyphens w:val="false"/>
        <w:bidi w:val="0"/>
        <w:spacing w:lineRule="auto" w:line="240" w:before="0" w:after="0"/>
        <w:ind w:firstLine="1417" w:left="0" w:right="0"/>
        <w:jc w:val="both"/>
        <w:rPr/>
      </w:pP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Art. 3º Faça-se expediente necessário e organize-se folha de pagamento referente às diárias, em consonância com a </w:t>
      </w:r>
      <w:hyperlink r:id="rId12">
        <w:r>
          <w:rPr>
            <w:rStyle w:val="Hyperlink"/>
            <w:rFonts w:eastAsia="Times New Roman" w:cs="Calibri" w:ascii="Calibri" w:hAnsi="Calibri"/>
            <w:color w:val="0000FF"/>
            <w:kern w:val="2"/>
            <w:sz w:val="24"/>
            <w:szCs w:val="24"/>
            <w:u w:val="single"/>
            <w:lang w:val="pt-BR" w:eastAsia="zh-CN" w:bidi="ar-SA"/>
          </w:rPr>
          <w:t>Portaria GP nº 871/2015</w:t>
        </w:r>
      </w:hyperlink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 e </w:t>
      </w:r>
      <w:hyperlink r:id="rId13">
        <w:r>
          <w:rPr>
            <w:rStyle w:val="Hyperlink"/>
            <w:rFonts w:eastAsia="Times New Roman" w:cs="Calibri" w:ascii="Calibri" w:hAnsi="Calibri"/>
            <w:color w:val="0000FF"/>
            <w:kern w:val="2"/>
            <w:sz w:val="24"/>
            <w:szCs w:val="24"/>
            <w:u w:val="single"/>
            <w:lang w:val="pt-BR" w:eastAsia="zh-CN" w:bidi="ar-SA"/>
          </w:rPr>
          <w:t>Resolução Administrativa nº 209/2015</w:t>
        </w:r>
      </w:hyperlink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, para o período de 16 a 20 de outubro de 2017, conforme informações constantes no doc. 1 do mencionado protocolo.     </w:t>
      </w:r>
      <w:hyperlink r:id="rId14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single"/>
            <w:lang w:val="pt-BR" w:eastAsia="zh-CN" w:bidi="ar-SA"/>
          </w:rPr>
          <w:t>(Redação dada pela Portaria DG nº 930/2017</w:t>
        </w:r>
      </w:hyperlink>
      <w:hyperlink r:id="rId15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none"/>
            <w:lang w:val="pt-BR" w:eastAsia="zh-CN" w:bidi="ar-SA"/>
          </w:rPr>
          <w:t>)</w:t>
        </w:r>
      </w:hyperlink>
    </w:p>
    <w:p>
      <w:pPr>
        <w:pStyle w:val="Normal"/>
        <w:ind w:firstLine="1440" w:left="0" w:right="0"/>
        <w:jc w:val="both"/>
        <w:rPr>
          <w:rStyle w:val="Hyperlink"/>
          <w:rFonts w:ascii="Calibri" w:hAnsi="Calibri" w:eastAsia=";@Malgun Gothic Semilight" w:cs="Calibri"/>
          <w:color w:val="auto"/>
          <w:kern w:val="2"/>
          <w:sz w:val="24"/>
          <w:szCs w:val="24"/>
          <w:u w:val="none"/>
          <w:lang w:val="pt-BR" w:eastAsia="zh-CN" w:bidi="hi-IN"/>
        </w:rPr>
      </w:pPr>
      <w:r>
        <w:rPr>
          <w:rFonts w:eastAsia=";@Malgun Gothic Semilight" w:cs="Calibri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</w:r>
    </w:p>
    <w:p>
      <w:pPr>
        <w:pStyle w:val="Normal"/>
        <w:ind w:firstLine="1440" w:left="0" w:right="0"/>
        <w:jc w:val="both"/>
        <w:rPr/>
      </w:pPr>
      <w:r>
        <w:rPr>
          <w:rStyle w:val="Hyperlink"/>
          <w:rFonts w:eastAsia=";@Malgun Gothic Semilight" w:cs="Calibri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  <w:t>Dê-se ciência.</w:t>
      </w:r>
    </w:p>
    <w:p>
      <w:pPr>
        <w:pStyle w:val="Normal"/>
        <w:ind w:firstLine="1440" w:left="0" w:right="0"/>
        <w:jc w:val="both"/>
        <w:rPr>
          <w:rFonts w:ascii="Calibri" w:hAnsi="Calibri" w:eastAsia=";@Malgun Gothic Semilight" w:cs="Calibri"/>
          <w:color w:val="auto"/>
          <w:kern w:val="2"/>
          <w:sz w:val="24"/>
          <w:szCs w:val="24"/>
          <w:u w:val="none"/>
          <w:lang w:val="pt-BR" w:eastAsia="zh-CN" w:bidi="hi-IN"/>
        </w:rPr>
      </w:pPr>
      <w:r>
        <w:rPr>
          <w:rFonts w:eastAsia=";@Malgun Gothic Semilight" w:cs="Calibri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</w:r>
    </w:p>
    <w:p>
      <w:pPr>
        <w:pStyle w:val="WW-Padro"/>
        <w:spacing w:lineRule="atLeast" w:line="200"/>
        <w:ind w:firstLine="1417" w:right="0"/>
        <w:jc w:val="both"/>
        <w:textAlignment w:val="baseline"/>
        <w:rPr/>
      </w:pPr>
      <w:r>
        <w:rPr>
          <w:rStyle w:val="Hyperlink"/>
          <w:rFonts w:eastAsia="Century Gothic" w:cs="Century Gothic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  <w:t>Publique-se no Caderno Administrativo do Diário Eletrônico da Justiça do Trabalho - DEJT e disponibilize-se no Portal da Internet.</w:t>
      </w:r>
    </w:p>
    <w:p>
      <w:pPr>
        <w:pStyle w:val="WW-Padro12"/>
        <w:tabs>
          <w:tab w:val="clear" w:pos="708"/>
          <w:tab w:val="left" w:pos="0" w:leader="none"/>
        </w:tabs>
        <w:spacing w:lineRule="atLeast" w:line="200"/>
        <w:ind w:firstLine="1417" w:left="0" w:right="0"/>
        <w:jc w:val="both"/>
        <w:textAlignment w:val="baseline"/>
        <w:rPr>
          <w:rFonts w:ascii="Calibri" w:hAnsi="Calibri" w:eastAsia="Century Gothic" w:cs="Calibri"/>
          <w:color w:val="000000"/>
          <w:sz w:val="24"/>
          <w:szCs w:val="24"/>
        </w:rPr>
      </w:pPr>
      <w:r>
        <w:rPr>
          <w:rFonts w:eastAsia="Century Gothic" w:cs="Calibri" w:ascii="Calibri" w:hAnsi="Calibri"/>
          <w:color w:val="000000"/>
          <w:sz w:val="24"/>
          <w:szCs w:val="24"/>
        </w:rPr>
      </w:r>
    </w:p>
    <w:p>
      <w:pPr>
        <w:pStyle w:val="WW-Padro12"/>
        <w:tabs>
          <w:tab w:val="clear" w:pos="708"/>
          <w:tab w:val="left" w:pos="0" w:leader="none"/>
        </w:tabs>
        <w:spacing w:lineRule="atLeast" w:line="200"/>
        <w:ind w:hanging="0" w:left="0" w:right="0"/>
        <w:jc w:val="center"/>
        <w:textAlignment w:val="baseline"/>
        <w:rPr>
          <w:rFonts w:ascii="Calibri" w:hAnsi="Calibri"/>
          <w:sz w:val="24"/>
          <w:szCs w:val="24"/>
        </w:rPr>
      </w:pPr>
      <w:r>
        <w:rPr>
          <w:rFonts w:cs="Calibri" w:ascii="Calibri" w:hAnsi="Calibri"/>
          <w:b/>
          <w:bCs/>
          <w:i w:val="false"/>
          <w:caps w:val="false"/>
          <w:smallCaps w:val="false"/>
          <w:color w:val="000000"/>
          <w:sz w:val="24"/>
          <w:szCs w:val="24"/>
        </w:rPr>
        <w:t>ADRIANA ALBUQUERQUE DE BRITO</w:t>
      </w:r>
    </w:p>
    <w:p>
      <w:pPr>
        <w:pStyle w:val="BodyText"/>
        <w:spacing w:lineRule="atLeast" w:line="200"/>
        <w:ind w:hanging="142"/>
        <w:jc w:val="center"/>
        <w:textAlignment w:val="baseline"/>
        <w:rPr>
          <w:rFonts w:ascii="Calibri" w:hAnsi="Calibri"/>
          <w:sz w:val="24"/>
          <w:szCs w:val="24"/>
        </w:rPr>
      </w:pPr>
      <w:r>
        <w:rPr>
          <w:rFonts w:eastAsia="Century Gothic" w:cs="Century Gothic" w:ascii="Calibri" w:hAnsi="Calibri" w:asciiTheme="minorHAnsi" w:hAnsiTheme="minorHAnsi"/>
          <w:color w:val="000000"/>
          <w:sz w:val="24"/>
          <w:szCs w:val="24"/>
        </w:rPr>
        <w:t>______________________________________________________________________</w:t>
      </w:r>
    </w:p>
    <w:p>
      <w:pPr>
        <w:pStyle w:val="WW-Padro1"/>
        <w:spacing w:lineRule="atLeast" w:line="200"/>
        <w:ind w:hanging="0"/>
        <w:jc w:val="center"/>
        <w:textAlignment w:val="baseline"/>
        <w:rPr>
          <w:rFonts w:ascii="Calibri" w:hAnsi="Calibri" w:eastAsia="Century Gothic" w:cs="Century Gothic" w:asciiTheme="minorHAnsi" w:hAnsiTheme="minorHAnsi"/>
          <w:color w:val="000000"/>
          <w:sz w:val="24"/>
          <w:szCs w:val="24"/>
        </w:rPr>
      </w:pPr>
      <w:r>
        <w:rPr>
          <w:rFonts w:eastAsia="Century Gothic" w:cs="Century Gothic" w:ascii="Calibri" w:hAnsi="Calibri"/>
          <w:color w:val="000000"/>
          <w:sz w:val="24"/>
          <w:szCs w:val="24"/>
        </w:rP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427990</wp:posOffset>
            </wp:positionH>
            <wp:positionV relativeFrom="paragraph">
              <wp:posOffset>151130</wp:posOffset>
            </wp:positionV>
            <wp:extent cx="2660015" cy="656590"/>
            <wp:effectExtent l="0" t="0" r="0" b="0"/>
            <wp:wrapSquare wrapText="largest"/>
            <wp:docPr id="2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0015" cy="656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tabs>
          <w:tab w:val="clear" w:pos="708"/>
          <w:tab w:val="center" w:pos="4252" w:leader="none"/>
          <w:tab w:val="right" w:pos="8504" w:leader="none"/>
        </w:tabs>
        <w:jc w:val="center"/>
        <w:rPr>
          <w:rFonts w:ascii="Calibri" w:hAnsi="Calibri"/>
          <w:sz w:val="24"/>
          <w:szCs w:val="24"/>
        </w:rPr>
      </w:pPr>
      <w:r>
        <w:rPr>
          <w:rFonts w:cs="Aller" w:ascii="Calibri" w:hAnsi="Calibri" w:asciiTheme="minorHAnsi" w:hAnsiTheme="minorHAnsi"/>
          <w:bCs/>
          <w:color w:val="000000"/>
          <w:sz w:val="24"/>
          <w:szCs w:val="24"/>
        </w:rPr>
        <w:t>Av. Senador Vitorino Freire, Nº 2001, Areinha</w:t>
      </w:r>
    </w:p>
    <w:p>
      <w:pPr>
        <w:pStyle w:val="Normal"/>
        <w:tabs>
          <w:tab w:val="clear" w:pos="708"/>
          <w:tab w:val="center" w:pos="4252" w:leader="none"/>
          <w:tab w:val="right" w:pos="8504" w:leader="none"/>
        </w:tabs>
        <w:jc w:val="center"/>
        <w:rPr>
          <w:rFonts w:ascii="Calibri" w:hAnsi="Calibri"/>
          <w:sz w:val="24"/>
          <w:szCs w:val="24"/>
        </w:rPr>
      </w:pPr>
      <w:r>
        <w:rPr>
          <w:rFonts w:cs="Aller" w:ascii="Calibri" w:hAnsi="Calibri" w:asciiTheme="minorHAnsi" w:hAnsiTheme="minorHAnsi"/>
          <w:bCs/>
          <w:color w:val="000000"/>
          <w:sz w:val="24"/>
          <w:szCs w:val="24"/>
        </w:rPr>
        <w:t>CEP: 65030-015 - São Luís/MA</w:t>
      </w:r>
    </w:p>
    <w:p>
      <w:pPr>
        <w:pStyle w:val="Normal"/>
        <w:tabs>
          <w:tab w:val="clear" w:pos="708"/>
          <w:tab w:val="center" w:pos="4252" w:leader="none"/>
          <w:tab w:val="right" w:pos="8504" w:leader="none"/>
        </w:tabs>
        <w:jc w:val="center"/>
        <w:rPr>
          <w:rFonts w:ascii="Calibri" w:hAnsi="Calibri"/>
          <w:sz w:val="24"/>
          <w:szCs w:val="24"/>
        </w:rPr>
      </w:pPr>
      <w:r>
        <w:rPr>
          <w:rFonts w:eastAsia="Century Gothic" w:cs="Aller" w:ascii="Calibri" w:hAnsi="Calibri" w:asciiTheme="minorHAnsi" w:hAnsiTheme="minorHAnsi"/>
          <w:bCs/>
          <w:color w:val="000000"/>
          <w:sz w:val="24"/>
          <w:szCs w:val="24"/>
        </w:rPr>
        <w:t>Telefone: (98) 2109-9301</w:t>
      </w:r>
    </w:p>
    <w:sectPr>
      <w:headerReference w:type="even" r:id="rId17"/>
      <w:headerReference w:type="default" r:id="rId18"/>
      <w:headerReference w:type="first" r:id="rId19"/>
      <w:footerReference w:type="even" r:id="rId20"/>
      <w:footerReference w:type="default" r:id="rId21"/>
      <w:footerReference w:type="first" r:id="rId22"/>
      <w:type w:val="nextPage"/>
      <w:pgSz w:w="11906" w:h="16838"/>
      <w:pgMar w:left="1134" w:right="1134" w:gutter="0" w:header="265" w:top="889" w:footer="153" w:bottom="267"/>
      <w:pgNumType w:fmt="decimal"/>
      <w:formProt w:val="false"/>
      <w:textDirection w:val="lrTb"/>
      <w:docGrid w:type="default" w:linePitch="600" w:charSpace="5734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font440">
    <w:charset w:val="00"/>
    <w:family w:val="roman"/>
    <w:pitch w:val="variable"/>
  </w:font>
  <w:font w:name="Century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8"/>
        <w:tab w:val="left" w:pos="2160" w:leader="none"/>
      </w:tabs>
      <w:jc w:val="center"/>
      <w:rPr>
        <w:rFonts w:ascii="Century Gothic" w:hAnsi="Century Gothic" w:cs="Century Gothic"/>
        <w:b/>
        <w:bCs/>
        <w:color w:val="000000"/>
        <w:sz w:val="22"/>
        <w:szCs w:val="22"/>
      </w:rPr>
    </w:pPr>
    <w:r>
      <w:rPr>
        <w:rFonts w:cs="Century Gothic" w:ascii="Century Gothic" w:hAnsi="Century Gothic"/>
        <w:b/>
        <w:bCs/>
        <w:color w:val="000000"/>
        <w:sz w:val="22"/>
        <w:szCs w:val="22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8"/>
        <w:tab w:val="left" w:pos="2160" w:leader="none"/>
      </w:tabs>
      <w:jc w:val="center"/>
      <w:rPr>
        <w:rFonts w:ascii="Century Gothic" w:hAnsi="Century Gothic" w:cs="Century Gothic"/>
        <w:b/>
        <w:bCs/>
        <w:color w:val="000000"/>
        <w:sz w:val="22"/>
        <w:szCs w:val="22"/>
      </w:rPr>
    </w:pPr>
    <w:r>
      <w:rPr>
        <w:rFonts w:cs="Century Gothic" w:ascii="Century Gothic" w:hAnsi="Century Gothic"/>
        <w:b/>
        <w:bCs/>
        <w:color w:val="000000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71"/>
  <w:defaultTabStop w:val="708"/>
  <w:autoHyphenation w:val="true"/>
  <w:hyphenationZone w:val="425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67e27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t-BR" w:eastAsia="ar-SA" w:bidi="ar-SA"/>
    </w:rPr>
  </w:style>
  <w:style w:type="paragraph" w:styleId="Heading2">
    <w:name w:val="heading 2"/>
    <w:basedOn w:val="Normal"/>
    <w:next w:val="Normal"/>
    <w:qFormat/>
    <w:pPr>
      <w:keepNext w:val="true"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baloChar" w:customStyle="1">
    <w:name w:val="Texto de balão Char"/>
    <w:basedOn w:val="DefaultParagraphFont"/>
    <w:uiPriority w:val="99"/>
    <w:semiHidden/>
    <w:qFormat/>
    <w:rsid w:val="00267e27"/>
    <w:rPr>
      <w:rFonts w:ascii="Tahoma" w:hAnsi="Tahoma" w:eastAsia="Times New Roman" w:cs="Tahoma"/>
      <w:sz w:val="16"/>
      <w:szCs w:val="16"/>
      <w:lang w:eastAsia="ar-SA"/>
    </w:rPr>
  </w:style>
  <w:style w:type="character" w:styleId="Hyperlink">
    <w:name w:val="Hyperlink"/>
    <w:uiPriority w:val="99"/>
    <w:semiHidden/>
    <w:unhideWhenUsed/>
    <w:qFormat/>
    <w:rsid w:val="00836030"/>
    <w:rPr>
      <w:color w:val="000080"/>
      <w:u w:val="single"/>
    </w:rPr>
  </w:style>
  <w:style w:type="character" w:styleId="Strong">
    <w:name w:val="Strong"/>
    <w:qFormat/>
    <w:rPr>
      <w:b/>
      <w:bCs/>
    </w:rPr>
  </w:style>
  <w:style w:type="character" w:styleId="FollowedHyperlink">
    <w:name w:val="FollowedHyperlink"/>
    <w:qFormat/>
    <w:rPr>
      <w:color w:val="80000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Lucida Sans"/>
    </w:rPr>
  </w:style>
  <w:style w:type="paragraph" w:styleId="WW-Padro1" w:customStyle="1">
    <w:name w:val="WW-Padr?o1"/>
    <w:qFormat/>
    <w:rsid w:val="00267e27"/>
    <w:pPr>
      <w:widowControl w:val="false"/>
      <w:suppressAutoHyphens w:val="true"/>
      <w:bidi w:val="0"/>
      <w:spacing w:lineRule="auto" w:line="240" w:before="0" w:after="0"/>
      <w:jc w:val="left"/>
    </w:pPr>
    <w:rPr>
      <w:rFonts w:ascii="font440" w:hAnsi="font440" w:eastAsia="font440" w:cs="font440"/>
      <w:color w:val="auto"/>
      <w:kern w:val="0"/>
      <w:sz w:val="24"/>
      <w:szCs w:val="24"/>
      <w:lang w:val="pt-BR" w:eastAsia="hi-IN" w:bidi="hi-IN"/>
    </w:rPr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267e27"/>
    <w:pPr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qFormat/>
    <w:rsid w:val="00836030"/>
    <w:pPr>
      <w:suppressAutoHyphens w:val="false"/>
      <w:spacing w:beforeAutospacing="1" w:afterAutospacing="1"/>
    </w:pPr>
    <w:rPr>
      <w:sz w:val="24"/>
      <w:szCs w:val="24"/>
      <w:lang w:eastAsia="pt-BR"/>
    </w:rPr>
  </w:style>
  <w:style w:type="paragraph" w:styleId="CabealhoeRodap">
    <w:name w:val="Cabeçalho e Rodapé"/>
    <w:basedOn w:val="Normal"/>
    <w:qFormat/>
    <w:pPr/>
    <w:rPr/>
  </w:style>
  <w:style w:type="paragraph" w:styleId="Cabealhoerodap1">
    <w:name w:val="Cabeçalho e rodapé1"/>
    <w:basedOn w:val="Normal"/>
    <w:qFormat/>
    <w:pPr/>
    <w:rPr/>
  </w:style>
  <w:style w:type="paragraph" w:styleId="Cabealhoerodap2">
    <w:name w:val="Cabeçalho e rodapé2"/>
    <w:basedOn w:val="Normal"/>
    <w:qFormat/>
    <w:pPr/>
    <w:rPr/>
  </w:style>
  <w:style w:type="paragraph" w:styleId="Cabealhoerodap3">
    <w:name w:val="Cabeçalho e rodapé3"/>
    <w:basedOn w:val="Normal"/>
    <w:qFormat/>
    <w:pPr/>
    <w:rPr/>
  </w:style>
  <w:style w:type="paragraph" w:styleId="Cabealhoerodap4">
    <w:name w:val="Cabeçalho e rodapé4"/>
    <w:basedOn w:val="Normal"/>
    <w:qFormat/>
    <w:pPr/>
    <w:rPr/>
  </w:style>
  <w:style w:type="paragraph" w:styleId="Cabealhoerodap5">
    <w:name w:val="Cabeçalho e rodapé5"/>
    <w:basedOn w:val="Normal"/>
    <w:qFormat/>
    <w:pPr/>
    <w:rPr/>
  </w:style>
  <w:style w:type="paragraph" w:styleId="Cabealhoerodap6">
    <w:name w:val="Cabeçalho e rodapé6"/>
    <w:basedOn w:val="Normal"/>
    <w:qFormat/>
    <w:pPr/>
    <w:rPr/>
  </w:style>
  <w:style w:type="paragraph" w:styleId="Cabealhoerodap7">
    <w:name w:val="Cabeçalho e rodapé7"/>
    <w:basedOn w:val="Normal"/>
    <w:qFormat/>
    <w:pPr/>
    <w:rPr/>
  </w:style>
  <w:style w:type="paragraph" w:styleId="Cabealhoerodap8">
    <w:name w:val="Cabeçalho e rodapé8"/>
    <w:basedOn w:val="Normal"/>
    <w:qFormat/>
    <w:pPr/>
    <w:rPr/>
  </w:style>
  <w:style w:type="paragraph" w:styleId="Cabealhoerodap9">
    <w:name w:val="Cabeçalho e rodapé9"/>
    <w:basedOn w:val="Normal"/>
    <w:qFormat/>
    <w:pPr/>
    <w:rPr/>
  </w:style>
  <w:style w:type="paragraph" w:styleId="Cabealhoerodap10">
    <w:name w:val="Cabeçalho e rodapé10"/>
    <w:basedOn w:val="Normal"/>
    <w:qFormat/>
    <w:pPr/>
    <w:rPr/>
  </w:style>
  <w:style w:type="paragraph" w:styleId="Cabealhoerodap11">
    <w:name w:val="Cabeçalho e rodapé11"/>
    <w:basedOn w:val="Normal"/>
    <w:qFormat/>
    <w:pPr/>
    <w:rPr/>
  </w:style>
  <w:style w:type="paragraph" w:styleId="Cabealhoerodap12">
    <w:name w:val="Cabeçalho e rodapé12"/>
    <w:basedOn w:val="Normal"/>
    <w:qFormat/>
    <w:pPr/>
    <w:rPr/>
  </w:style>
  <w:style w:type="paragraph" w:styleId="Cabealhoerodap13">
    <w:name w:val="Cabeçalho e rodapé13"/>
    <w:basedOn w:val="Normal"/>
    <w:qFormat/>
    <w:pPr/>
    <w:rPr/>
  </w:style>
  <w:style w:type="paragraph" w:styleId="Cabealhoerodap14">
    <w:name w:val="Cabeçalho e rodapé14"/>
    <w:basedOn w:val="Normal"/>
    <w:qFormat/>
    <w:pPr/>
    <w:rPr/>
  </w:style>
  <w:style w:type="paragraph" w:styleId="Cabealhoerodap15">
    <w:name w:val="Cabeçalho e rodapé15"/>
    <w:basedOn w:val="Normal"/>
    <w:qFormat/>
    <w:pPr/>
    <w:rPr/>
  </w:style>
  <w:style w:type="paragraph" w:styleId="Cabealhoerodap16">
    <w:name w:val="Cabeçalho e rodapé16"/>
    <w:basedOn w:val="Normal"/>
    <w:qFormat/>
    <w:pPr/>
    <w:rPr/>
  </w:style>
  <w:style w:type="paragraph" w:styleId="Cabealhoerodap17">
    <w:name w:val="Cabeçalho e rodapé17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atabelauser">
    <w:name w:val="Conteúdo da tabela (user)"/>
    <w:basedOn w:val="Normal"/>
    <w:qFormat/>
    <w:pPr>
      <w:suppressLineNumbers/>
    </w:pPr>
    <w:rPr/>
  </w:style>
  <w:style w:type="paragraph" w:styleId="Ttulodetabelauser">
    <w:name w:val="Título de tabela (user)"/>
    <w:basedOn w:val="Contedodatabelauser"/>
    <w:qFormat/>
    <w:pPr>
      <w:suppressLineNumbers/>
      <w:jc w:val="center"/>
    </w:pPr>
    <w:rPr>
      <w:b/>
      <w:bCs/>
    </w:rPr>
  </w:style>
  <w:style w:type="paragraph" w:styleId="Footer">
    <w:name w:val="footer"/>
    <w:basedOn w:val="CabealhoeRodap"/>
    <w:pPr>
      <w:suppressLineNumbers/>
      <w:tabs>
        <w:tab w:val="clear" w:pos="708"/>
        <w:tab w:val="center" w:pos="5359" w:leader="none"/>
        <w:tab w:val="right" w:pos="10719" w:leader="none"/>
      </w:tabs>
    </w:pPr>
    <w:rPr/>
  </w:style>
  <w:style w:type="paragraph" w:styleId="WW-Padro12">
    <w:name w:val="WW-Padr?o12"/>
    <w:qFormat/>
    <w:pPr>
      <w:widowControl w:val="false"/>
      <w:suppressAutoHyphens w:val="true"/>
      <w:bidi w:val="0"/>
      <w:spacing w:before="0" w:after="0"/>
      <w:jc w:val="left"/>
    </w:pPr>
    <w:rPr>
      <w:rFonts w:ascii=";@Malgun Gothic Semilight" w:hAnsi=";@Malgun Gothic Semilight" w:eastAsia=";@Malgun Gothic Semilight" w:cs=";@Malgun Gothic Semilight"/>
      <w:color w:val="auto"/>
      <w:kern w:val="2"/>
      <w:sz w:val="24"/>
      <w:szCs w:val="24"/>
      <w:lang w:val="pt-BR" w:eastAsia="zh-CN" w:bidi="hi-IN"/>
    </w:rPr>
  </w:style>
  <w:style w:type="paragraph" w:styleId="WW-Padro">
    <w:name w:val="WW-Padr?o"/>
    <w:qFormat/>
    <w:pPr>
      <w:widowControl w:val="false"/>
      <w:suppressAutoHyphens w:val="true"/>
      <w:bidi w:val="0"/>
      <w:spacing w:before="0" w:after="0"/>
      <w:jc w:val="left"/>
    </w:pPr>
    <w:rPr>
      <w:rFonts w:ascii=";Meiryo" w:hAnsi=";Meiryo" w:eastAsia=";Meiryo" w:cs=";Meiryo"/>
      <w:color w:val="auto"/>
      <w:kern w:val="2"/>
      <w:sz w:val="24"/>
      <w:szCs w:val="24"/>
      <w:lang w:val="pt-BR" w:eastAsia="en-US" w:bidi="hi-IN"/>
    </w:rPr>
  </w:style>
  <w:style w:type="numbering" w:styleId="Semlista" w:default="1">
    <w:name w:val="Sem lista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bibliotecadigital.trt16.jus.br/server/api/core/bitstreams/6c757727-e280-4a11-a35a-64fbd9941151/content" TargetMode="External"/><Relationship Id="rId4" Type="http://schemas.openxmlformats.org/officeDocument/2006/relationships/hyperlink" Target="https://bibliotecadigital.trt16.jus.br/server/api/core/bitstreams/19473e9c-6e0f-4605-8c82-9d8f0778fd7f/content" TargetMode="External"/><Relationship Id="rId5" Type="http://schemas.openxmlformats.org/officeDocument/2006/relationships/hyperlink" Target="https://bibliotecadigital.trt16.jus.br/server/api/core/bitstreams/6c757727-e280-4a11-a35a-64fbd9941151/content" TargetMode="External"/><Relationship Id="rId6" Type="http://schemas.openxmlformats.org/officeDocument/2006/relationships/hyperlink" Target="https://bibliotecadigital.trt16.jus.br/server/api/core/bitstreams/9a2126e8-550d-427e-bbcb-8099356462af/content" TargetMode="External"/><Relationship Id="rId7" Type="http://schemas.openxmlformats.org/officeDocument/2006/relationships/hyperlink" Target="https://bibliotecadigital.trt16.jus.br/server/api/core/bitstreams/fd35253f-7a99-4e50-87fe-012b20110165/content" TargetMode="External"/><Relationship Id="rId8" Type="http://schemas.openxmlformats.org/officeDocument/2006/relationships/hyperlink" Target="https://bibliotecadigital.trt16.jus.br/server/api/core/bitstreams/a4ed5c1c-b3ac-49f8-9f9a-1b78fe8a8e54/content" TargetMode="External"/><Relationship Id="rId9" Type="http://schemas.openxmlformats.org/officeDocument/2006/relationships/hyperlink" Target="https://bibliotecadigital.trt16.jus.br/server/api/core/bitstreams/c1168b7f-718e-4447-b1a7-9ec2ae3ead04/content" TargetMode="External"/><Relationship Id="rId10" Type="http://schemas.openxmlformats.org/officeDocument/2006/relationships/hyperlink" Target="https://bibliotecadigital.trt16.jus.br/server/api/core/bitstreams/6c757727-e280-4a11-a35a-64fbd9941151/content" TargetMode="External"/><Relationship Id="rId11" Type="http://schemas.openxmlformats.org/officeDocument/2006/relationships/hyperlink" Target="https://bibliotecadigital.trt16.jus.br/server/api/core/bitstreams/9a2126e8-550d-427e-bbcb-8099356462af/content" TargetMode="External"/><Relationship Id="rId12" Type="http://schemas.openxmlformats.org/officeDocument/2006/relationships/hyperlink" Target="https://bibliotecadigital.trt16.jus.br/server/api/core/bitstreams/fd35253f-7a99-4e50-87fe-012b20110165/content" TargetMode="External"/><Relationship Id="rId13" Type="http://schemas.openxmlformats.org/officeDocument/2006/relationships/hyperlink" Target="https://bibliotecadigital.trt16.jus.br/server/api/core/bitstreams/5612a0d6-d424-4740-8d32-b2e587d6325c/content" TargetMode="External"/><Relationship Id="rId14" Type="http://schemas.openxmlformats.org/officeDocument/2006/relationships/hyperlink" Target="https://bibliotecadigital.trt16.jus.br/server/api/core/bitstreams/6c757727-e280-4a11-a35a-64fbd9941151/content" TargetMode="External"/><Relationship Id="rId15" Type="http://schemas.openxmlformats.org/officeDocument/2006/relationships/hyperlink" Target="https://bibliotecadigital.trt16.jus.br/server/api/core/bitstreams/9a2126e8-550d-427e-bbcb-8099356462af/content" TargetMode="External"/><Relationship Id="rId16" Type="http://schemas.openxmlformats.org/officeDocument/2006/relationships/image" Target="media/image2.png"/><Relationship Id="rId17" Type="http://schemas.openxmlformats.org/officeDocument/2006/relationships/header" Target="header1.xml"/><Relationship Id="rId18" Type="http://schemas.openxmlformats.org/officeDocument/2006/relationships/header" Target="header2.xml"/><Relationship Id="rId19" Type="http://schemas.openxmlformats.org/officeDocument/2006/relationships/header" Target="header3.xml"/><Relationship Id="rId20" Type="http://schemas.openxmlformats.org/officeDocument/2006/relationships/footer" Target="footer1.xml"/><Relationship Id="rId21" Type="http://schemas.openxmlformats.org/officeDocument/2006/relationships/footer" Target="footer2.xml"/><Relationship Id="rId22" Type="http://schemas.openxmlformats.org/officeDocument/2006/relationships/footer" Target="footer3.xml"/><Relationship Id="rId23" Type="http://schemas.openxmlformats.org/officeDocument/2006/relationships/numbering" Target="numbering.xml"/><Relationship Id="rId24" Type="http://schemas.openxmlformats.org/officeDocument/2006/relationships/fontTable" Target="fontTable.xml"/><Relationship Id="rId25" Type="http://schemas.openxmlformats.org/officeDocument/2006/relationships/settings" Target="settings.xml"/><Relationship Id="rId2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524</TotalTime>
  <Application>LibreOffice/25.2.6.2$Windows_X86_64 LibreOffice_project/729c5bfe710f5eb71ed3bbde9e06a6065e9c6c5d</Application>
  <AppVersion>15.0000</AppVersion>
  <Pages>1</Pages>
  <Words>362</Words>
  <Characters>1912</Characters>
  <CharactersWithSpaces>2282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2024-11-12T11:53:00Z</dcterms:created>
  <dc:creator>camilo.silva</dc:creator>
  <dc:description/>
  <dc:language>pt-BR</dc:language>
  <cp:lastModifiedBy/>
  <cp:lastPrinted>2025-12-30T16:21:51Z</cp:lastPrinted>
  <dcterms:modified xsi:type="dcterms:W3CDTF">2026-03-02T13:23:20Z</dcterms:modified>
  <cp:revision>110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