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spacing w:before="0" w:after="113"/>
        <w:jc w:val="center"/>
        <w:rPr>
          <w:rFonts w:ascii="Calibri" w:hAnsi="Calibri" w:eastAsia="Rasa" w:cs="Rasa"/>
          <w:bCs/>
          <w:color w:val="000000"/>
          <w:sz w:val="24"/>
          <w:szCs w:val="24"/>
        </w:rPr>
      </w:pPr>
      <w:r>
        <w:rPr>
          <w:rFonts w:eastAsia="Rasa" w:cs="Rasa" w:ascii="Calibri" w:hAnsi="Calibri"/>
          <w:bCs/>
          <w:color w:val="000000"/>
          <w:sz w:val="24"/>
          <w:szCs w:val="24"/>
        </w:rPr>
        <w:drawing>
          <wp:anchor behindDoc="0" distT="0" distB="0" distL="0" distR="0" simplePos="0" locked="0" layoutInCell="0" allowOverlap="1" relativeHeight="3">
            <wp:simplePos x="0" y="0"/>
            <wp:positionH relativeFrom="column">
              <wp:posOffset>2773680</wp:posOffset>
            </wp:positionH>
            <wp:positionV relativeFrom="paragraph">
              <wp:posOffset>23495</wp:posOffset>
            </wp:positionV>
            <wp:extent cx="763905" cy="756920"/>
            <wp:effectExtent l="0" t="0" r="0" b="0"/>
            <wp:wrapSquare wrapText="largest"/>
            <wp:docPr id="1" name="Figura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905" cy="756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/>
          <w:b w:val="false"/>
          <w:bCs w:val="false"/>
          <w:sz w:val="24"/>
          <w:szCs w:val="24"/>
        </w:rPr>
      </w:pPr>
      <w:r>
        <w:rPr>
          <w:rFonts w:ascii="Calibri" w:hAnsi="Calibri"/>
          <w:b w:val="false"/>
          <w:bCs w:val="false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/>
          <w:b w:val="false"/>
          <w:bCs w:val="false"/>
          <w:sz w:val="24"/>
          <w:szCs w:val="24"/>
        </w:rPr>
      </w:pPr>
      <w:r>
        <w:rPr>
          <w:rFonts w:ascii="Calibri" w:hAnsi="Calibri"/>
          <w:b w:val="false"/>
          <w:bCs w:val="false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/>
          <w:b w:val="false"/>
          <w:bCs w:val="false"/>
          <w:sz w:val="24"/>
          <w:szCs w:val="24"/>
        </w:rPr>
      </w:pPr>
      <w:r>
        <w:rPr>
          <w:rFonts w:ascii="Calibri" w:hAnsi="Calibri"/>
          <w:b w:val="false"/>
          <w:bCs w:val="false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/>
          <w:b w:val="false"/>
          <w:bCs w:val="false"/>
          <w:sz w:val="24"/>
          <w:szCs w:val="24"/>
        </w:rPr>
      </w:pPr>
      <w:r>
        <w:rPr>
          <w:rFonts w:ascii="Calibri" w:hAnsi="Calibri"/>
          <w:b w:val="false"/>
          <w:bCs w:val="false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jc w:val="center"/>
        <w:rPr>
          <w:rFonts w:ascii="Calibri" w:hAnsi="Calibri" w:eastAsia="Rasa" w:cs="Rasa"/>
          <w:b w:val="false"/>
          <w:bCs w:val="false"/>
          <w:color w:val="000000"/>
          <w:sz w:val="24"/>
          <w:szCs w:val="24"/>
          <w:lang w:eastAsia="ar-SA"/>
        </w:rPr>
      </w:pPr>
      <w:r>
        <w:rPr>
          <w:rFonts w:eastAsia="Rasa" w:cs="Rasa" w:ascii="Calibri" w:hAnsi="Calibri"/>
          <w:b w:val="false"/>
          <w:bCs w:val="false"/>
          <w:color w:val="000000"/>
          <w:sz w:val="24"/>
          <w:szCs w:val="24"/>
          <w:lang w:eastAsia="ar-SA"/>
        </w:rPr>
        <w:t>PODER JUDICIÁRIO</w:t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spacing w:lineRule="atLeast" w:line="200"/>
        <w:jc w:val="center"/>
        <w:rPr>
          <w:rFonts w:ascii="Calibri" w:hAnsi="Calibri"/>
          <w:sz w:val="24"/>
          <w:szCs w:val="24"/>
        </w:rPr>
      </w:pPr>
      <w:r>
        <w:rPr>
          <w:rFonts w:eastAsia="Rasa" w:cs="Rasa" w:ascii="Calibri" w:hAnsi="Calibri" w:asciiTheme="minorHAnsi" w:hAnsiTheme="minorHAnsi"/>
          <w:b w:val="false"/>
          <w:bCs w:val="false"/>
          <w:color w:val="000000"/>
          <w:sz w:val="24"/>
          <w:szCs w:val="24"/>
        </w:rPr>
        <w:t>TRIBUNAL REGIONAL DO TRABALHO DA 16ª REGIÃO</w:t>
      </w:r>
    </w:p>
    <w:p>
      <w:pPr>
        <w:pStyle w:val="Normal"/>
        <w:widowControl w:val="false"/>
        <w:tabs>
          <w:tab w:val="clear" w:pos="708"/>
          <w:tab w:val="center" w:pos="4153" w:leader="none"/>
          <w:tab w:val="right" w:pos="8307" w:leader="none"/>
        </w:tabs>
        <w:spacing w:lineRule="atLeast" w:line="200"/>
        <w:jc w:val="center"/>
        <w:rPr>
          <w:rFonts w:ascii="Calibri" w:hAnsi="Calibri" w:eastAsia="Rasa" w:cs="Rasa" w:asciiTheme="minorHAnsi" w:hAnsiTheme="minorHAnsi"/>
          <w:color w:val="000000"/>
          <w:sz w:val="24"/>
          <w:szCs w:val="24"/>
        </w:rPr>
      </w:pPr>
      <w:r>
        <w:rPr>
          <w:rFonts w:eastAsia="Rasa" w:cs="Rasa" w:ascii="Calibri" w:hAnsi="Calibri"/>
          <w:color w:val="000000"/>
          <w:sz w:val="24"/>
          <w:szCs w:val="24"/>
        </w:rPr>
      </w:r>
    </w:p>
    <w:p>
      <w:pPr>
        <w:pStyle w:val="Normal"/>
        <w:tabs>
          <w:tab w:val="clear" w:pos="708"/>
          <w:tab w:val="left" w:pos="2160" w:leader="none"/>
        </w:tabs>
        <w:jc w:val="left"/>
        <w:rPr>
          <w:rFonts w:ascii="Calibri" w:hAnsi="Calibri"/>
          <w:sz w:val="24"/>
          <w:szCs w:val="24"/>
        </w:rPr>
      </w:pPr>
      <w:r>
        <w:rPr>
          <w:rFonts w:cs="Century Gothic" w:ascii="Calibri" w:hAnsi="Calibri" w:asciiTheme="minorHAnsi" w:hAnsiTheme="minorHAnsi"/>
          <w:b/>
          <w:bCs/>
          <w:sz w:val="24"/>
          <w:szCs w:val="24"/>
        </w:rPr>
        <w:t xml:space="preserve">PORTARIA D.G. Nº </w:t>
      </w:r>
      <w:r>
        <w:rPr>
          <w:rFonts w:cs="Century Gothic" w:ascii="Calibri" w:hAnsi="Calibri" w:asciiTheme="minorHAnsi" w:hAnsiTheme="minorHAnsi"/>
          <w:b/>
          <w:bCs/>
          <w:sz w:val="24"/>
          <w:szCs w:val="24"/>
        </w:rPr>
        <w:t>3</w:t>
      </w:r>
      <w:r>
        <w:rPr>
          <w:rFonts w:cs="Century Gothic" w:ascii="Calibri" w:hAnsi="Calibri" w:asciiTheme="minorHAnsi" w:hAnsiTheme="minorHAnsi"/>
          <w:b/>
          <w:bCs/>
          <w:sz w:val="24"/>
          <w:szCs w:val="24"/>
        </w:rPr>
        <w:t>0/2009</w:t>
      </w:r>
    </w:p>
    <w:p>
      <w:pPr>
        <w:pStyle w:val="Normal"/>
        <w:tabs>
          <w:tab w:val="clear" w:pos="708"/>
          <w:tab w:val="left" w:pos="2160" w:leader="none"/>
        </w:tabs>
        <w:jc w:val="right"/>
        <w:rPr>
          <w:rFonts w:ascii="Calibri" w:hAnsi="Calibri" w:cs="Century Gothic" w:asciiTheme="minorHAnsi" w:hAnsiTheme="minorHAnsi"/>
          <w:b/>
          <w:sz w:val="24"/>
          <w:szCs w:val="24"/>
        </w:rPr>
      </w:pPr>
      <w:r>
        <w:rPr>
          <w:rFonts w:cs="Century Gothic" w:ascii="Calibri" w:hAnsi="Calibri"/>
          <w:b/>
          <w:sz w:val="24"/>
          <w:szCs w:val="24"/>
        </w:rPr>
      </w:r>
    </w:p>
    <w:p>
      <w:pPr>
        <w:pStyle w:val="Normal"/>
        <w:widowControl/>
        <w:tabs>
          <w:tab w:val="clear" w:pos="708"/>
          <w:tab w:val="left" w:pos="2160" w:leader="none"/>
          <w:tab w:val="left" w:pos="5100" w:leader="none"/>
          <w:tab w:val="left" w:pos="5638" w:leader="none"/>
        </w:tabs>
        <w:suppressAutoHyphens w:val="true"/>
        <w:bidi w:val="0"/>
        <w:spacing w:lineRule="auto" w:line="240" w:before="0" w:after="0"/>
        <w:ind w:hanging="0" w:left="5669" w:right="0"/>
        <w:jc w:val="both"/>
        <w:rPr/>
      </w:pPr>
      <w:r>
        <w:rPr>
          <w:rFonts w:cs="Century Gothic" w:ascii="Calibri" w:hAnsi="Calibri" w:asciiTheme="minorHAnsi" w:hAnsiTheme="minorHAnsi"/>
          <w:sz w:val="24"/>
          <w:szCs w:val="24"/>
        </w:rPr>
        <w:t xml:space="preserve">(Texto compilado a partir da redação dada pela </w:t>
      </w:r>
      <w:hyperlink r:id="rId3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single"/>
            <w:lang w:val="pt-BR" w:eastAsia="zh-CN" w:bidi="ar-SA"/>
          </w:rPr>
          <w:t>Portaria DG nº 036/2009 de 26 de janeiro de 2009</w:t>
        </w:r>
      </w:hyperlink>
      <w:r>
        <w:rPr>
          <w:rStyle w:val="Hyperlink"/>
          <w:rFonts w:eastAsia="Times New Roman" w:cs="Century Gothic" w:ascii="Calibri" w:hAnsi="Calibri"/>
          <w:b w:val="false"/>
          <w:i w:val="false"/>
          <w:caps w:val="false"/>
          <w:smallCaps w:val="false"/>
          <w:color w:val="000000"/>
          <w:spacing w:val="0"/>
          <w:kern w:val="0"/>
          <w:sz w:val="24"/>
          <w:szCs w:val="24"/>
          <w:u w:val="none"/>
          <w:lang w:val="pt-BR" w:eastAsia="ar-SA" w:bidi="ar-SA"/>
        </w:rPr>
        <w:t>)</w:t>
      </w:r>
    </w:p>
    <w:p>
      <w:pPr>
        <w:pStyle w:val="BodyText"/>
        <w:tabs>
          <w:tab w:val="clear" w:pos="708"/>
          <w:tab w:val="left" w:pos="2160" w:leader="none"/>
        </w:tabs>
        <w:ind w:firstLine="1417"/>
        <w:jc w:val="both"/>
        <w:rPr>
          <w:rFonts w:ascii="Calibri" w:hAnsi="Calibri" w:cs="Century Gothic" w:asciiTheme="minorHAnsi" w:hAnsiTheme="minorHAnsi"/>
          <w:b w:val="false"/>
          <w:i w:val="false"/>
          <w:i w:val="false"/>
          <w:caps w:val="false"/>
          <w:smallCaps w:val="false"/>
          <w:color w:val="000000"/>
          <w:sz w:val="24"/>
          <w:szCs w:val="24"/>
        </w:rPr>
      </w:pPr>
      <w:r>
        <w:rPr>
          <w:rFonts w:cs="Century Gothic" w:ascii="Calibri" w:hAnsi="Calibri"/>
          <w:b w:val="false"/>
          <w:i w:val="false"/>
          <w:caps w:val="false"/>
          <w:smallCaps w:val="false"/>
          <w:color w:val="000000"/>
          <w:sz w:val="24"/>
          <w:szCs w:val="24"/>
        </w:rPr>
      </w:r>
    </w:p>
    <w:p>
      <w:pPr>
        <w:pStyle w:val="WW-Padro12"/>
        <w:spacing w:lineRule="atLeast" w:line="200"/>
        <w:ind w:firstLine="1417" w:left="0" w:right="0"/>
        <w:jc w:val="both"/>
        <w:textAlignment w:val="baseline"/>
        <w:rPr>
          <w:rFonts w:ascii="Calibri" w:hAnsi="Calibri"/>
          <w:sz w:val="24"/>
          <w:szCs w:val="24"/>
        </w:rPr>
      </w:pPr>
      <w:r>
        <w:rPr>
          <w:rFonts w:eastAsia=";@Malgun Gothic Semilight" w:cs="Calibri" w:ascii="Calibri" w:hAnsi="Calibri"/>
          <w:b/>
          <w:color w:val="auto"/>
          <w:kern w:val="2"/>
          <w:sz w:val="24"/>
          <w:szCs w:val="24"/>
          <w:lang w:val="pt-BR" w:eastAsia="zh-CN" w:bidi="hi-IN"/>
        </w:rPr>
        <w:t>A</w:t>
      </w:r>
      <w:r>
        <w:rPr>
          <w:rFonts w:cs="Calibri" w:ascii="Calibri" w:hAnsi="Calibri"/>
          <w:b/>
          <w:sz w:val="24"/>
          <w:szCs w:val="24"/>
        </w:rPr>
        <w:t xml:space="preserve"> DIRETOR</w:t>
      </w:r>
      <w:r>
        <w:rPr>
          <w:rFonts w:cs="Calibri" w:ascii="Calibri" w:hAnsi="Calibri"/>
          <w:b/>
          <w:sz w:val="24"/>
          <w:szCs w:val="24"/>
        </w:rPr>
        <w:t>A</w:t>
      </w:r>
      <w:r>
        <w:rPr>
          <w:rFonts w:cs="Calibri" w:ascii="Calibri" w:hAnsi="Calibri"/>
          <w:b/>
          <w:sz w:val="24"/>
          <w:szCs w:val="24"/>
        </w:rPr>
        <w:t xml:space="preserve">-GERAL </w:t>
      </w:r>
      <w:r>
        <w:rPr>
          <w:rFonts w:cs="Calibri" w:ascii="Calibri" w:hAnsi="Calibri"/>
          <w:b/>
          <w:sz w:val="24"/>
          <w:szCs w:val="24"/>
        </w:rPr>
        <w:t>EM EXERCÍCIO</w:t>
      </w:r>
      <w:r>
        <w:rPr>
          <w:rFonts w:cs="Calibri" w:ascii="Calibri" w:hAnsi="Calibri"/>
          <w:b/>
          <w:sz w:val="24"/>
          <w:szCs w:val="24"/>
        </w:rPr>
        <w:t xml:space="preserve"> DO TRIBUNAL REGIONAL DO</w:t>
      </w:r>
      <w:r>
        <w:rPr>
          <w:rFonts w:cs="Calibri" w:ascii="Calibri" w:hAnsi="Calibri"/>
          <w:sz w:val="24"/>
          <w:szCs w:val="24"/>
        </w:rPr>
        <w:t xml:space="preserve"> </w:t>
      </w:r>
      <w:r>
        <w:rPr>
          <w:rFonts w:cs="Calibri" w:ascii="Calibri" w:hAnsi="Calibri"/>
          <w:b/>
          <w:sz w:val="24"/>
          <w:szCs w:val="24"/>
        </w:rPr>
        <w:t>TRABALHO DA DÉCIMA SEXTA REGIÃO</w:t>
      </w:r>
      <w:r>
        <w:rPr>
          <w:rFonts w:cs="Calibri" w:ascii="Calibri" w:hAnsi="Calibri"/>
          <w:sz w:val="24"/>
          <w:szCs w:val="24"/>
        </w:rPr>
        <w:t xml:space="preserve">, </w:t>
      </w:r>
      <w:r>
        <w:rPr>
          <w:rFonts w:ascii="Calibri" w:hAnsi="Calibri"/>
        </w:rPr>
        <w:t xml:space="preserve">no uso de suas atribuições legais e regulamentares e, tendo em vista o disposto no </w:t>
      </w:r>
      <w:hyperlink r:id="rId4">
        <w:r>
          <w:rPr>
            <w:rStyle w:val="Hyperlink"/>
            <w:rFonts w:ascii="Calibri" w:hAnsi="Calibri"/>
            <w:color w:val="0000FF"/>
          </w:rPr>
          <w:t>ATO G.P. Nº 113/2009</w:t>
        </w:r>
      </w:hyperlink>
      <w:r>
        <w:rPr>
          <w:rFonts w:ascii="Calibri" w:hAnsi="Calibri"/>
        </w:rPr>
        <w:t>, bem como o constante no PA-102/2009 e no Formulário de Solicitação de Diárias, do SECOI, datado de 21/01/09.</w:t>
      </w:r>
    </w:p>
    <w:p>
      <w:pPr>
        <w:pStyle w:val="Heading2"/>
        <w:numPr>
          <w:ilvl w:val="0"/>
          <w:numId w:val="0"/>
        </w:numPr>
        <w:spacing w:before="0" w:after="0"/>
        <w:ind w:firstLine="1440" w:left="0" w:right="0"/>
        <w:jc w:val="both"/>
        <w:rPr>
          <w:rFonts w:ascii="Calibri" w:hAnsi="Calibri" w:cs="Calibri"/>
          <w:i w:val="false"/>
          <w:i w:val="false"/>
          <w:sz w:val="24"/>
          <w:szCs w:val="24"/>
        </w:rPr>
      </w:pPr>
      <w:r>
        <w:rPr>
          <w:rFonts w:cs="Calibri" w:ascii="Calibri" w:hAnsi="Calibri"/>
          <w:i w:val="false"/>
          <w:sz w:val="24"/>
          <w:szCs w:val="24"/>
        </w:rPr>
      </w:r>
    </w:p>
    <w:p>
      <w:pPr>
        <w:pStyle w:val="Heading2"/>
        <w:numPr>
          <w:ilvl w:val="1"/>
          <w:numId w:val="2"/>
        </w:numPr>
        <w:spacing w:before="0" w:after="0"/>
        <w:ind w:firstLine="1440" w:left="0" w:right="0"/>
        <w:jc w:val="both"/>
        <w:rPr>
          <w:rFonts w:ascii="Calibri" w:hAnsi="Calibri" w:cs="Calibri"/>
          <w:i w:val="false"/>
          <w:i w:val="false"/>
          <w:sz w:val="24"/>
          <w:szCs w:val="24"/>
        </w:rPr>
      </w:pPr>
      <w:r>
        <w:rPr>
          <w:rFonts w:cs="Calibri" w:ascii="Calibri" w:hAnsi="Calibri"/>
          <w:i w:val="false"/>
          <w:sz w:val="24"/>
          <w:szCs w:val="24"/>
        </w:rPr>
        <w:t>R E S O L V E</w:t>
      </w:r>
    </w:p>
    <w:p>
      <w:pPr>
        <w:pStyle w:val="Normal"/>
        <w:suppressAutoHyphens w:val="false"/>
        <w:spacing w:lineRule="auto" w:line="240"/>
        <w:ind w:hanging="0" w:left="0" w:right="0"/>
        <w:jc w:val="both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widowControl/>
        <w:suppressAutoHyphens w:val="false"/>
        <w:bidi w:val="0"/>
        <w:spacing w:lineRule="auto" w:line="240" w:before="0" w:after="0"/>
        <w:ind w:firstLine="1417" w:left="0" w:right="0"/>
        <w:jc w:val="both"/>
        <w:rPr>
          <w:rFonts w:ascii="Calibri" w:hAnsi="Calibri" w:cs="Calibri"/>
          <w:sz w:val="24"/>
          <w:szCs w:val="24"/>
        </w:rPr>
      </w:pP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>Conceder 3½ (três e meia) diárias ao Sr. CELSON DE JESUS MOREIRA COSTA, Analista Judiciário, FC-05, Chefe do Serviço de Controle Interno, Matrícula 30816846, para viajar a cidade de Brasília/DF, a fim de participar do Curso “TOMADA E PRESTAÇÃO DE CONTAS ANUAIS”, a realizar-se no período de 29 a 30 de janeiro de 2009.</w:t>
      </w:r>
    </w:p>
    <w:p>
      <w:pPr>
        <w:pStyle w:val="Normal"/>
        <w:suppressAutoHyphens w:val="false"/>
        <w:spacing w:lineRule="auto" w:line="240"/>
        <w:ind w:hanging="0" w:left="0" w:right="0"/>
        <w:jc w:val="both"/>
        <w:rPr>
          <w:rFonts w:ascii="Calibri" w:hAnsi="Calibri" w:eastAsia="Times New Roman" w:cs="Calibri"/>
          <w:color w:val="auto"/>
          <w:sz w:val="24"/>
          <w:szCs w:val="24"/>
          <w:lang w:val="pt-BR" w:eastAsia="zh-CN" w:bidi="ar-SA"/>
        </w:rPr>
      </w:pPr>
      <w:r>
        <w:rPr>
          <w:rFonts w:eastAsia="Times New Roman" w:cs="Calibri" w:ascii="Calibri" w:hAnsi="Calibri"/>
          <w:color w:val="auto"/>
          <w:sz w:val="24"/>
          <w:szCs w:val="24"/>
          <w:lang w:val="pt-BR" w:eastAsia="zh-CN" w:bidi="ar-SA"/>
        </w:rPr>
      </w:r>
    </w:p>
    <w:p>
      <w:pPr>
        <w:pStyle w:val="Normal"/>
        <w:suppressAutoHyphens w:val="false"/>
        <w:spacing w:lineRule="auto" w:line="240"/>
        <w:ind w:hanging="0" w:left="0" w:right="0"/>
        <w:jc w:val="both"/>
        <w:rPr/>
      </w:pPr>
      <w:r>
        <w:rPr>
          <w:rFonts w:eastAsia="Times New Roman" w:cs="Calibri" w:ascii="Calibri" w:hAnsi="Calibri"/>
          <w:color w:val="auto"/>
          <w:sz w:val="24"/>
          <w:szCs w:val="24"/>
          <w:lang w:val="pt-BR" w:eastAsia="zh-CN" w:bidi="ar-SA"/>
        </w:rPr>
        <w:tab/>
        <w:tab/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Faça-se expediente necessário e organize-se folha de pagamento referente às diárias para o período de 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>01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 a 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>04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 de 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>fever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eiro do corrente ano. 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   </w:t>
      </w: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 </w:t>
      </w:r>
      <w:hyperlink r:id="rId5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single"/>
            <w:lang w:val="pt-BR" w:eastAsia="zh-CN" w:bidi="ar-SA"/>
          </w:rPr>
          <w:t>(Redação dada pela Portaria DG nº 036/2009</w:t>
        </w:r>
      </w:hyperlink>
      <w:hyperlink r:id="rId6">
        <w:r>
          <w:rPr>
            <w:rStyle w:val="Hyperlink"/>
            <w:rFonts w:eastAsia="Times New Roman" w:cs="Calibri" w:ascii="Calibri" w:hAnsi="Calibri"/>
            <w:b w:val="false"/>
            <w:i w:val="false"/>
            <w:caps w:val="false"/>
            <w:smallCaps w:val="false"/>
            <w:color w:val="0000FF"/>
            <w:spacing w:val="0"/>
            <w:kern w:val="0"/>
            <w:sz w:val="24"/>
            <w:szCs w:val="24"/>
            <w:u w:val="none"/>
            <w:lang w:val="pt-BR" w:eastAsia="zh-CN" w:bidi="ar-SA"/>
          </w:rPr>
          <w:t>)</w:t>
        </w:r>
      </w:hyperlink>
    </w:p>
    <w:p>
      <w:pPr>
        <w:pStyle w:val="Normal"/>
        <w:suppressAutoHyphens w:val="false"/>
        <w:spacing w:lineRule="auto" w:line="276"/>
        <w:ind w:hanging="0" w:left="0" w:right="0"/>
        <w:jc w:val="both"/>
        <w:rPr/>
      </w:pPr>
      <w:r>
        <w:rPr>
          <w:rStyle w:val="Hyperlink"/>
          <w:rFonts w:eastAsia=";@Malgun Gothic Semilight" w:cs="Calibri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  <w:tab/>
        <w:tab/>
        <w:tab/>
        <w:t xml:space="preserve">     </w:t>
      </w:r>
    </w:p>
    <w:p>
      <w:pPr>
        <w:pStyle w:val="Normal"/>
        <w:widowControl/>
        <w:suppressAutoHyphens w:val="false"/>
        <w:bidi w:val="0"/>
        <w:spacing w:lineRule="auto" w:line="240" w:before="0" w:after="0"/>
        <w:ind w:firstLine="1417" w:left="0" w:right="0"/>
        <w:jc w:val="both"/>
        <w:rPr/>
      </w:pPr>
      <w:r>
        <w:rPr>
          <w:rStyle w:val="Hyperlink"/>
          <w:rFonts w:eastAsia="Times New Roman" w:cs="Calibri" w:ascii="Calibri" w:hAnsi="Calibri"/>
          <w:color w:val="auto"/>
          <w:kern w:val="2"/>
          <w:sz w:val="24"/>
          <w:szCs w:val="24"/>
          <w:u w:val="none"/>
          <w:lang w:val="pt-BR" w:eastAsia="zh-CN" w:bidi="ar-SA"/>
        </w:rPr>
        <w:t xml:space="preserve">Justifica-se o deslocamento do servidor no dia 31/01/09, tendo em vista a indisponibilidade de vôos em horários que compatibilizem a participação do servidor em tempo integral no evento. </w:t>
      </w:r>
    </w:p>
    <w:p>
      <w:pPr>
        <w:pStyle w:val="Normal"/>
        <w:widowControl/>
        <w:suppressAutoHyphens w:val="false"/>
        <w:bidi w:val="0"/>
        <w:spacing w:lineRule="auto" w:line="240" w:before="0" w:after="0"/>
        <w:ind w:firstLine="1417" w:left="0" w:right="0"/>
        <w:jc w:val="both"/>
        <w:rPr>
          <w:rStyle w:val="Hyperlink"/>
          <w:rFonts w:ascii="Calibri" w:hAnsi="Calibri" w:eastAsia=";@Malgun Gothic Semilight" w:cs="Calibri"/>
          <w:b w:val="false"/>
          <w:i w:val="false"/>
          <w:i w:val="false"/>
          <w:caps w:val="false"/>
          <w:smallCaps w:val="false"/>
          <w:color w:val="auto"/>
          <w:spacing w:val="0"/>
          <w:kern w:val="2"/>
          <w:sz w:val="24"/>
          <w:szCs w:val="24"/>
          <w:u w:val="none"/>
          <w:lang w:val="pt-BR" w:eastAsia="zh-CN" w:bidi="hi-IN"/>
        </w:rPr>
      </w:pPr>
      <w:r>
        <w:rPr/>
      </w:r>
    </w:p>
    <w:p>
      <w:pPr>
        <w:pStyle w:val="Normal"/>
        <w:ind w:firstLine="1440" w:left="0" w:right="0"/>
        <w:jc w:val="both"/>
        <w:rPr/>
      </w:pPr>
      <w:r>
        <w:rPr>
          <w:rStyle w:val="Hyperlink"/>
          <w:rFonts w:eastAsia=";@Malgun Gothic Semilight" w:cs="Calibri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  <w:t>Dê-se ciência.</w:t>
      </w:r>
    </w:p>
    <w:p>
      <w:pPr>
        <w:pStyle w:val="Normal"/>
        <w:ind w:firstLine="1440" w:left="0" w:right="0"/>
        <w:jc w:val="both"/>
        <w:rPr>
          <w:rFonts w:ascii="Calibri" w:hAnsi="Calibri" w:eastAsia=";@Malgun Gothic Semilight" w:cs="Calibri"/>
          <w:color w:val="auto"/>
          <w:kern w:val="2"/>
          <w:sz w:val="24"/>
          <w:szCs w:val="24"/>
          <w:u w:val="none"/>
          <w:lang w:val="pt-BR" w:eastAsia="zh-CN" w:bidi="hi-IN"/>
        </w:rPr>
      </w:pPr>
      <w:r>
        <w:rPr>
          <w:rFonts w:eastAsia=";@Malgun Gothic Semilight" w:cs="Calibri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</w:r>
    </w:p>
    <w:p>
      <w:pPr>
        <w:pStyle w:val="WW-Padro"/>
        <w:spacing w:lineRule="atLeast" w:line="200"/>
        <w:ind w:firstLine="1417" w:right="0"/>
        <w:jc w:val="both"/>
        <w:textAlignment w:val="baseline"/>
        <w:rPr/>
      </w:pPr>
      <w:r>
        <w:rPr>
          <w:rStyle w:val="Hyperlink"/>
          <w:rFonts w:eastAsia="Century Gothic" w:cs="Century Gothic" w:ascii="Calibri" w:hAnsi="Calibri"/>
          <w:color w:val="auto"/>
          <w:kern w:val="2"/>
          <w:sz w:val="24"/>
          <w:szCs w:val="24"/>
          <w:u w:val="none"/>
          <w:lang w:val="pt-BR" w:eastAsia="zh-CN" w:bidi="hi-IN"/>
        </w:rPr>
        <w:t>Publique-se no Boletim Interno Eletrônico.</w:t>
      </w:r>
    </w:p>
    <w:p>
      <w:pPr>
        <w:pStyle w:val="WW-Padro12"/>
        <w:tabs>
          <w:tab w:val="clear" w:pos="708"/>
          <w:tab w:val="left" w:pos="0" w:leader="none"/>
        </w:tabs>
        <w:spacing w:lineRule="atLeast" w:line="200"/>
        <w:ind w:firstLine="1417" w:left="0" w:right="0"/>
        <w:jc w:val="both"/>
        <w:textAlignment w:val="baseline"/>
        <w:rPr>
          <w:rFonts w:ascii="Calibri" w:hAnsi="Calibri" w:eastAsia="Century Gothic" w:cs="Calibri"/>
          <w:color w:val="000000"/>
          <w:sz w:val="24"/>
          <w:szCs w:val="24"/>
        </w:rPr>
      </w:pPr>
      <w:r>
        <w:rPr>
          <w:rFonts w:eastAsia="Century Gothic" w:cs="Calibri" w:ascii="Calibri" w:hAnsi="Calibri"/>
          <w:color w:val="000000"/>
          <w:sz w:val="24"/>
          <w:szCs w:val="24"/>
        </w:rPr>
      </w:r>
    </w:p>
    <w:p>
      <w:pPr>
        <w:pStyle w:val="WW-Padro12"/>
        <w:tabs>
          <w:tab w:val="clear" w:pos="708"/>
          <w:tab w:val="left" w:pos="0" w:leader="none"/>
        </w:tabs>
        <w:spacing w:lineRule="atLeast" w:line="200"/>
        <w:ind w:firstLine="1417" w:left="0" w:right="0"/>
        <w:jc w:val="both"/>
        <w:textAlignment w:val="baseline"/>
        <w:rPr>
          <w:rFonts w:ascii="Calibri" w:hAnsi="Calibri" w:eastAsia="Century Gothic" w:cs="Calibri"/>
          <w:color w:val="000000"/>
          <w:sz w:val="24"/>
          <w:szCs w:val="24"/>
        </w:rPr>
      </w:pPr>
      <w:r>
        <w:rPr>
          <w:rFonts w:eastAsia="Century Gothic" w:cs="Calibri" w:ascii="Calibri" w:hAnsi="Calibri"/>
          <w:color w:val="000000"/>
          <w:sz w:val="24"/>
          <w:szCs w:val="24"/>
        </w:rPr>
      </w:r>
    </w:p>
    <w:p>
      <w:pPr>
        <w:pStyle w:val="WW-Padro12"/>
        <w:tabs>
          <w:tab w:val="clear" w:pos="708"/>
          <w:tab w:val="left" w:pos="0" w:leader="none"/>
        </w:tabs>
        <w:spacing w:lineRule="atLeast" w:line="200"/>
        <w:ind w:firstLine="1417" w:left="0" w:right="0"/>
        <w:jc w:val="both"/>
        <w:textAlignment w:val="baseline"/>
        <w:rPr>
          <w:rFonts w:ascii="Calibri" w:hAnsi="Calibri" w:eastAsia="Century Gothic" w:cs="Calibri"/>
          <w:color w:val="000000"/>
          <w:sz w:val="24"/>
          <w:szCs w:val="24"/>
        </w:rPr>
      </w:pPr>
      <w:r>
        <w:rPr>
          <w:rFonts w:eastAsia="Century Gothic" w:cs="Calibri" w:ascii="Calibri" w:hAnsi="Calibri"/>
          <w:color w:val="000000"/>
          <w:sz w:val="24"/>
          <w:szCs w:val="24"/>
        </w:rPr>
      </w:r>
    </w:p>
    <w:p>
      <w:pPr>
        <w:pStyle w:val="WW-Padro12"/>
        <w:tabs>
          <w:tab w:val="clear" w:pos="708"/>
          <w:tab w:val="left" w:pos="0" w:leader="none"/>
        </w:tabs>
        <w:spacing w:lineRule="atLeast" w:line="200"/>
        <w:ind w:firstLine="1417" w:left="0" w:right="0"/>
        <w:jc w:val="both"/>
        <w:textAlignment w:val="baseline"/>
        <w:rPr>
          <w:rFonts w:ascii="Calibri" w:hAnsi="Calibri" w:eastAsia="Century Gothic" w:cs="Calibri"/>
          <w:color w:val="000000"/>
          <w:sz w:val="24"/>
          <w:szCs w:val="24"/>
        </w:rPr>
      </w:pPr>
      <w:r>
        <w:rPr>
          <w:rFonts w:eastAsia="Century Gothic" w:cs="Calibri" w:ascii="Calibri" w:hAnsi="Calibri"/>
          <w:color w:val="000000"/>
          <w:sz w:val="24"/>
          <w:szCs w:val="24"/>
        </w:rPr>
      </w:r>
    </w:p>
    <w:p>
      <w:pPr>
        <w:pStyle w:val="WW-Padro12"/>
        <w:tabs>
          <w:tab w:val="clear" w:pos="708"/>
          <w:tab w:val="left" w:pos="0" w:leader="none"/>
        </w:tabs>
        <w:spacing w:lineRule="atLeast" w:line="200"/>
        <w:ind w:firstLine="1417" w:left="0" w:right="0"/>
        <w:jc w:val="both"/>
        <w:textAlignment w:val="baseline"/>
        <w:rPr>
          <w:rFonts w:ascii="Calibri" w:hAnsi="Calibri" w:eastAsia="Century Gothic" w:cs="Calibri"/>
          <w:color w:val="000000"/>
          <w:sz w:val="24"/>
          <w:szCs w:val="24"/>
        </w:rPr>
      </w:pPr>
      <w:r>
        <w:rPr>
          <w:rFonts w:eastAsia="Century Gothic" w:cs="Calibri" w:ascii="Calibri" w:hAnsi="Calibri"/>
          <w:color w:val="000000"/>
          <w:sz w:val="24"/>
          <w:szCs w:val="24"/>
        </w:rPr>
      </w:r>
    </w:p>
    <w:p>
      <w:pPr>
        <w:pStyle w:val="WW-Padro12"/>
        <w:tabs>
          <w:tab w:val="clear" w:pos="708"/>
          <w:tab w:val="left" w:pos="0" w:leader="none"/>
        </w:tabs>
        <w:spacing w:lineRule="atLeast" w:line="200"/>
        <w:ind w:firstLine="1417" w:left="0" w:right="0"/>
        <w:jc w:val="both"/>
        <w:textAlignment w:val="baseline"/>
        <w:rPr>
          <w:rFonts w:ascii="Calibri" w:hAnsi="Calibri" w:eastAsia="Century Gothic" w:cs="Calibri"/>
          <w:color w:val="000000"/>
          <w:sz w:val="24"/>
          <w:szCs w:val="24"/>
        </w:rPr>
      </w:pPr>
      <w:r>
        <w:rPr>
          <w:rFonts w:eastAsia="Century Gothic" w:cs="Calibri" w:ascii="Calibri" w:hAnsi="Calibri"/>
          <w:color w:val="000000"/>
          <w:sz w:val="24"/>
          <w:szCs w:val="24"/>
        </w:rPr>
      </w:r>
    </w:p>
    <w:p>
      <w:pPr>
        <w:pStyle w:val="WW-Padro12"/>
        <w:tabs>
          <w:tab w:val="clear" w:pos="708"/>
          <w:tab w:val="left" w:pos="0" w:leader="none"/>
        </w:tabs>
        <w:spacing w:lineRule="atLeast" w:line="200"/>
        <w:ind w:hanging="0" w:left="0" w:right="0"/>
        <w:jc w:val="center"/>
        <w:textAlignment w:val="baseline"/>
        <w:rPr>
          <w:rFonts w:ascii="Calibri" w:hAnsi="Calibri"/>
          <w:sz w:val="24"/>
          <w:szCs w:val="24"/>
        </w:rPr>
      </w:pPr>
      <w:r>
        <w:rPr>
          <w:rFonts w:cs="Calibri" w:ascii="Calibri" w:hAnsi="Calibri"/>
          <w:b/>
          <w:bCs/>
          <w:i w:val="false"/>
          <w:caps w:val="false"/>
          <w:smallCaps w:val="false"/>
          <w:color w:val="000000"/>
          <w:sz w:val="24"/>
          <w:szCs w:val="24"/>
        </w:rPr>
        <w:t xml:space="preserve">SÍLVIA MARIA PONTES DE CASTRO </w:t>
      </w:r>
    </w:p>
    <w:p>
      <w:pPr>
        <w:pStyle w:val="BodyText"/>
        <w:spacing w:lineRule="atLeast" w:line="200"/>
        <w:ind w:hanging="142"/>
        <w:jc w:val="center"/>
        <w:textAlignment w:val="baseline"/>
        <w:rPr>
          <w:rFonts w:ascii="Calibri" w:hAnsi="Calibri"/>
          <w:sz w:val="24"/>
          <w:szCs w:val="24"/>
        </w:rPr>
      </w:pPr>
      <w:r>
        <w:rPr>
          <w:rFonts w:eastAsia="Century Gothic" w:cs="Century Gothic" w:ascii="Calibri" w:hAnsi="Calibri" w:asciiTheme="minorHAnsi" w:hAnsiTheme="minorHAnsi"/>
          <w:color w:val="000000"/>
          <w:sz w:val="24"/>
          <w:szCs w:val="24"/>
        </w:rPr>
        <w:t>______________________________________________________________________</w:t>
      </w:r>
    </w:p>
    <w:p>
      <w:pPr>
        <w:pStyle w:val="WW-Padro1"/>
        <w:spacing w:lineRule="atLeast" w:line="200"/>
        <w:ind w:hanging="0"/>
        <w:jc w:val="center"/>
        <w:textAlignment w:val="baseline"/>
        <w:rPr>
          <w:rFonts w:ascii="Calibri" w:hAnsi="Calibri" w:eastAsia="Century Gothic" w:cs="Century Gothic" w:asciiTheme="minorHAnsi" w:hAnsiTheme="minorHAnsi"/>
          <w:color w:val="000000"/>
          <w:sz w:val="24"/>
          <w:szCs w:val="24"/>
        </w:rPr>
      </w:pPr>
      <w:r>
        <w:rPr>
          <w:rFonts w:eastAsia="Century Gothic" w:cs="Century Gothic" w:ascii="Calibri" w:hAnsi="Calibri"/>
          <w:color w:val="000000"/>
          <w:sz w:val="24"/>
          <w:szCs w:val="24"/>
        </w:rP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427990</wp:posOffset>
            </wp:positionH>
            <wp:positionV relativeFrom="paragraph">
              <wp:posOffset>151130</wp:posOffset>
            </wp:positionV>
            <wp:extent cx="2660015" cy="656590"/>
            <wp:effectExtent l="0" t="0" r="0" b="0"/>
            <wp:wrapSquare wrapText="largest"/>
            <wp:docPr id="2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0015" cy="656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tabs>
          <w:tab w:val="clear" w:pos="708"/>
          <w:tab w:val="center" w:pos="4252" w:leader="none"/>
          <w:tab w:val="right" w:pos="8504" w:leader="none"/>
        </w:tabs>
        <w:jc w:val="center"/>
        <w:rPr>
          <w:rFonts w:ascii="Calibri" w:hAnsi="Calibri"/>
          <w:sz w:val="24"/>
          <w:szCs w:val="24"/>
        </w:rPr>
      </w:pPr>
      <w:r>
        <w:rPr>
          <w:rFonts w:cs="Aller" w:ascii="Calibri" w:hAnsi="Calibri" w:asciiTheme="minorHAnsi" w:hAnsiTheme="minorHAnsi"/>
          <w:bCs/>
          <w:color w:val="000000"/>
          <w:sz w:val="24"/>
          <w:szCs w:val="24"/>
        </w:rPr>
        <w:t>Av. Senador Vitorino Freire, Nº 2001, Areinha</w:t>
      </w:r>
    </w:p>
    <w:p>
      <w:pPr>
        <w:pStyle w:val="Normal"/>
        <w:tabs>
          <w:tab w:val="clear" w:pos="708"/>
          <w:tab w:val="center" w:pos="4252" w:leader="none"/>
          <w:tab w:val="right" w:pos="8504" w:leader="none"/>
        </w:tabs>
        <w:jc w:val="center"/>
        <w:rPr>
          <w:rFonts w:ascii="Calibri" w:hAnsi="Calibri"/>
          <w:sz w:val="24"/>
          <w:szCs w:val="24"/>
        </w:rPr>
      </w:pPr>
      <w:r>
        <w:rPr>
          <w:rFonts w:cs="Aller" w:ascii="Calibri" w:hAnsi="Calibri" w:asciiTheme="minorHAnsi" w:hAnsiTheme="minorHAnsi"/>
          <w:bCs/>
          <w:color w:val="000000"/>
          <w:sz w:val="24"/>
          <w:szCs w:val="24"/>
        </w:rPr>
        <w:t>CEP: 65030-015 - São Luís/MA</w:t>
      </w:r>
    </w:p>
    <w:p>
      <w:pPr>
        <w:pStyle w:val="Normal"/>
        <w:tabs>
          <w:tab w:val="clear" w:pos="708"/>
          <w:tab w:val="center" w:pos="4252" w:leader="none"/>
          <w:tab w:val="right" w:pos="8504" w:leader="none"/>
        </w:tabs>
        <w:jc w:val="center"/>
        <w:rPr>
          <w:rFonts w:ascii="Calibri" w:hAnsi="Calibri"/>
          <w:sz w:val="24"/>
          <w:szCs w:val="24"/>
        </w:rPr>
      </w:pPr>
      <w:r>
        <w:rPr>
          <w:rFonts w:eastAsia="Century Gothic" w:cs="Aller" w:ascii="Calibri" w:hAnsi="Calibri" w:asciiTheme="minorHAnsi" w:hAnsiTheme="minorHAnsi"/>
          <w:bCs/>
          <w:color w:val="000000"/>
          <w:sz w:val="24"/>
          <w:szCs w:val="24"/>
        </w:rPr>
        <w:t>Telefone: (98) 2109-9301</w:t>
      </w:r>
    </w:p>
    <w:sectPr>
      <w:headerReference w:type="even" r:id="rId8"/>
      <w:headerReference w:type="default" r:id="rId9"/>
      <w:headerReference w:type="first" r:id="rId10"/>
      <w:footerReference w:type="even" r:id="rId11"/>
      <w:footerReference w:type="default" r:id="rId12"/>
      <w:footerReference w:type="first" r:id="rId13"/>
      <w:type w:val="nextPage"/>
      <w:pgSz w:w="11906" w:h="16838"/>
      <w:pgMar w:left="1134" w:right="1134" w:gutter="0" w:header="265" w:top="1456" w:footer="153" w:bottom="267"/>
      <w:pgNumType w:fmt="decimal"/>
      <w:formProt w:val="false"/>
      <w:textDirection w:val="lrTb"/>
      <w:docGrid w:type="default" w:linePitch="600" w:charSpace="5734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font440">
    <w:charset w:val="00"/>
    <w:family w:val="roman"/>
    <w:pitch w:val="variable"/>
  </w:font>
  <w:font w:name="Century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8"/>
        <w:tab w:val="left" w:pos="2160" w:leader="none"/>
      </w:tabs>
      <w:jc w:val="center"/>
      <w:rPr>
        <w:rFonts w:ascii="Century Gothic" w:hAnsi="Century Gothic" w:cs="Century Gothic"/>
        <w:b/>
        <w:bCs/>
        <w:color w:val="000000"/>
        <w:sz w:val="22"/>
        <w:szCs w:val="22"/>
      </w:rPr>
    </w:pPr>
    <w:r>
      <w:rPr>
        <w:rFonts w:cs="Century Gothic" w:ascii="Century Gothic" w:hAnsi="Century Gothic"/>
        <w:b/>
        <w:bCs/>
        <w:color w:val="000000"/>
        <w:sz w:val="22"/>
        <w:szCs w:val="22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8"/>
        <w:tab w:val="left" w:pos="2160" w:leader="none"/>
      </w:tabs>
      <w:jc w:val="center"/>
      <w:rPr>
        <w:rFonts w:ascii="Century Gothic" w:hAnsi="Century Gothic" w:cs="Century Gothic"/>
        <w:b/>
        <w:bCs/>
        <w:color w:val="000000"/>
        <w:sz w:val="22"/>
        <w:szCs w:val="22"/>
      </w:rPr>
    </w:pPr>
    <w:r>
      <w:rPr>
        <w:rFonts w:cs="Century Gothic" w:ascii="Century Gothic" w:hAnsi="Century Gothic"/>
        <w:b/>
        <w:bCs/>
        <w:color w:val="000000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hyphenationZone w:val="425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67e27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t-BR" w:eastAsia="ar-SA" w:bidi="ar-SA"/>
    </w:rPr>
  </w:style>
  <w:style w:type="paragraph" w:styleId="Heading2">
    <w:name w:val="heading 2"/>
    <w:basedOn w:val="Normal"/>
    <w:next w:val="Normal"/>
    <w:qFormat/>
    <w:pPr>
      <w:keepNext w:val="true"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baloChar" w:customStyle="1">
    <w:name w:val="Texto de balão Char"/>
    <w:basedOn w:val="DefaultParagraphFont"/>
    <w:uiPriority w:val="99"/>
    <w:semiHidden/>
    <w:qFormat/>
    <w:rsid w:val="00267e27"/>
    <w:rPr>
      <w:rFonts w:ascii="Tahoma" w:hAnsi="Tahoma" w:eastAsia="Times New Roman" w:cs="Tahoma"/>
      <w:sz w:val="16"/>
      <w:szCs w:val="16"/>
      <w:lang w:eastAsia="ar-SA"/>
    </w:rPr>
  </w:style>
  <w:style w:type="character" w:styleId="Hyperlink">
    <w:name w:val="Hyperlink"/>
    <w:uiPriority w:val="99"/>
    <w:semiHidden/>
    <w:unhideWhenUsed/>
    <w:qFormat/>
    <w:rsid w:val="00836030"/>
    <w:rPr>
      <w:color w:val="000080"/>
      <w:u w:val="single"/>
    </w:rPr>
  </w:style>
  <w:style w:type="character" w:styleId="Strong">
    <w:name w:val="Strong"/>
    <w:qFormat/>
    <w:rPr>
      <w:b/>
      <w:bCs/>
    </w:rPr>
  </w:style>
  <w:style w:type="character" w:styleId="FollowedHyperlink">
    <w:name w:val="FollowedHyperlink"/>
    <w:qFormat/>
    <w:rPr>
      <w:color w:val="80000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WW-Padro1" w:customStyle="1">
    <w:name w:val="WW-Padr?o1"/>
    <w:qFormat/>
    <w:rsid w:val="00267e27"/>
    <w:pPr>
      <w:widowControl w:val="false"/>
      <w:suppressAutoHyphens w:val="true"/>
      <w:bidi w:val="0"/>
      <w:spacing w:lineRule="auto" w:line="240" w:before="0" w:after="0"/>
      <w:jc w:val="left"/>
    </w:pPr>
    <w:rPr>
      <w:rFonts w:ascii="font440" w:hAnsi="font440" w:eastAsia="font440" w:cs="font440"/>
      <w:color w:val="auto"/>
      <w:kern w:val="0"/>
      <w:sz w:val="24"/>
      <w:szCs w:val="24"/>
      <w:lang w:val="pt-BR" w:eastAsia="hi-IN" w:bidi="hi-IN"/>
    </w:rPr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267e27"/>
    <w:pPr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qFormat/>
    <w:rsid w:val="00836030"/>
    <w:pPr>
      <w:suppressAutoHyphens w:val="false"/>
      <w:spacing w:beforeAutospacing="1" w:afterAutospacing="1"/>
    </w:pPr>
    <w:rPr>
      <w:sz w:val="24"/>
      <w:szCs w:val="24"/>
      <w:lang w:eastAsia="pt-BR"/>
    </w:rPr>
  </w:style>
  <w:style w:type="paragraph" w:styleId="CabealhoeRodap">
    <w:name w:val="Cabeçalho e Rodapé"/>
    <w:basedOn w:val="Normal"/>
    <w:qFormat/>
    <w:pPr/>
    <w:rPr/>
  </w:style>
  <w:style w:type="paragraph" w:styleId="Cabealhoerodap1">
    <w:name w:val="Cabeçalho e rodapé1"/>
    <w:basedOn w:val="Normal"/>
    <w:qFormat/>
    <w:pPr/>
    <w:rPr/>
  </w:style>
  <w:style w:type="paragraph" w:styleId="Cabealhoerodap2">
    <w:name w:val="Cabeçalho e rodapé2"/>
    <w:basedOn w:val="Normal"/>
    <w:qFormat/>
    <w:pPr/>
    <w:rPr/>
  </w:style>
  <w:style w:type="paragraph" w:styleId="Cabealhoerodap3">
    <w:name w:val="Cabeçalho e rodapé3"/>
    <w:basedOn w:val="Normal"/>
    <w:qFormat/>
    <w:pPr/>
    <w:rPr/>
  </w:style>
  <w:style w:type="paragraph" w:styleId="Cabealhoerodap4">
    <w:name w:val="Cabeçalho e rodapé4"/>
    <w:basedOn w:val="Normal"/>
    <w:qFormat/>
    <w:pPr/>
    <w:rPr/>
  </w:style>
  <w:style w:type="paragraph" w:styleId="Cabealhoerodap5">
    <w:name w:val="Cabeçalho e rodapé5"/>
    <w:basedOn w:val="Normal"/>
    <w:qFormat/>
    <w:pPr/>
    <w:rPr/>
  </w:style>
  <w:style w:type="paragraph" w:styleId="Cabealhoerodap6">
    <w:name w:val="Cabeçalho e rodapé6"/>
    <w:basedOn w:val="Normal"/>
    <w:qFormat/>
    <w:pPr/>
    <w:rPr/>
  </w:style>
  <w:style w:type="paragraph" w:styleId="Cabealhoerodap7">
    <w:name w:val="Cabeçalho e rodapé7"/>
    <w:basedOn w:val="Normal"/>
    <w:qFormat/>
    <w:pPr/>
    <w:rPr/>
  </w:style>
  <w:style w:type="paragraph" w:styleId="Cabealhoerodap8">
    <w:name w:val="Cabeçalho e rodapé8"/>
    <w:basedOn w:val="Normal"/>
    <w:qFormat/>
    <w:pPr/>
    <w:rPr/>
  </w:style>
  <w:style w:type="paragraph" w:styleId="Cabealhoerodap9">
    <w:name w:val="Cabeçalho e rodapé9"/>
    <w:basedOn w:val="Normal"/>
    <w:qFormat/>
    <w:pPr/>
    <w:rPr/>
  </w:style>
  <w:style w:type="paragraph" w:styleId="Cabealhoerodap10">
    <w:name w:val="Cabeçalho e rodapé10"/>
    <w:basedOn w:val="Normal"/>
    <w:qFormat/>
    <w:pPr/>
    <w:rPr/>
  </w:style>
  <w:style w:type="paragraph" w:styleId="Cabealhoerodap11">
    <w:name w:val="Cabeçalho e rodapé11"/>
    <w:basedOn w:val="Normal"/>
    <w:qFormat/>
    <w:pPr/>
    <w:rPr/>
  </w:style>
  <w:style w:type="paragraph" w:styleId="Cabealhoerodap12">
    <w:name w:val="Cabeçalho e rodapé12"/>
    <w:basedOn w:val="Normal"/>
    <w:qFormat/>
    <w:pPr/>
    <w:rPr/>
  </w:style>
  <w:style w:type="paragraph" w:styleId="Cabealhoerodap13">
    <w:name w:val="Cabeçalho e rodapé13"/>
    <w:basedOn w:val="Normal"/>
    <w:qFormat/>
    <w:pPr/>
    <w:rPr/>
  </w:style>
  <w:style w:type="paragraph" w:styleId="Cabealhoerodap14">
    <w:name w:val="Cabeçalho e rodapé14"/>
    <w:basedOn w:val="Normal"/>
    <w:qFormat/>
    <w:pPr/>
    <w:rPr/>
  </w:style>
  <w:style w:type="paragraph" w:styleId="Cabealhoerodap15">
    <w:name w:val="Cabeçalho e rodapé15"/>
    <w:basedOn w:val="Normal"/>
    <w:qFormat/>
    <w:pPr/>
    <w:rPr/>
  </w:style>
  <w:style w:type="paragraph" w:styleId="Cabealhoerodap16">
    <w:name w:val="Cabeçalho e rodapé16"/>
    <w:basedOn w:val="Normal"/>
    <w:qFormat/>
    <w:pPr/>
    <w:rPr/>
  </w:style>
  <w:style w:type="paragraph" w:styleId="Cabealhoerodap17">
    <w:name w:val="Cabeçalho e rodapé17"/>
    <w:basedOn w:val="Normal"/>
    <w:qFormat/>
    <w:pPr/>
    <w:rPr/>
  </w:style>
  <w:style w:type="paragraph" w:styleId="Cabealhoerodap18">
    <w:name w:val="Cabeçalho e rodapé18"/>
    <w:basedOn w:val="Normal"/>
    <w:qFormat/>
    <w:pPr/>
    <w:rPr/>
  </w:style>
  <w:style w:type="paragraph" w:styleId="Cabealhoerodap19">
    <w:name w:val="Cabeçalho e rodapé19"/>
    <w:basedOn w:val="Normal"/>
    <w:qFormat/>
    <w:pPr/>
    <w:rPr/>
  </w:style>
  <w:style w:type="paragraph" w:styleId="Cabealhoerodap20">
    <w:name w:val="Cabeçalho e rodapé20"/>
    <w:basedOn w:val="Normal"/>
    <w:qFormat/>
    <w:pPr/>
    <w:rPr/>
  </w:style>
  <w:style w:type="paragraph" w:styleId="Cabealhoerodap21">
    <w:name w:val="Cabeçalho e rodapé21"/>
    <w:basedOn w:val="Normal"/>
    <w:qFormat/>
    <w:pPr/>
    <w:rPr/>
  </w:style>
  <w:style w:type="paragraph" w:styleId="Cabealhoerodap22">
    <w:name w:val="Cabeçalho e rodapé22"/>
    <w:basedOn w:val="Normal"/>
    <w:qFormat/>
    <w:pPr/>
    <w:rPr/>
  </w:style>
  <w:style w:type="paragraph" w:styleId="Cabealhoerodap23">
    <w:name w:val="Cabeçalho e rodapé23"/>
    <w:basedOn w:val="Normal"/>
    <w:qFormat/>
    <w:pPr/>
    <w:rPr/>
  </w:style>
  <w:style w:type="paragraph" w:styleId="Cabealhoerodap24">
    <w:name w:val="Cabeçalho e rodapé24"/>
    <w:basedOn w:val="Normal"/>
    <w:qFormat/>
    <w:pPr/>
    <w:rPr/>
  </w:style>
  <w:style w:type="paragraph" w:styleId="Cabealhoerodap25">
    <w:name w:val="Cabeçalho e rodapé25"/>
    <w:basedOn w:val="Normal"/>
    <w:qFormat/>
    <w:pPr/>
    <w:rPr/>
  </w:style>
  <w:style w:type="paragraph" w:styleId="Cabealhoerodap26">
    <w:name w:val="Cabeçalho e rodapé26"/>
    <w:basedOn w:val="Normal"/>
    <w:qFormat/>
    <w:pPr/>
    <w:rPr/>
  </w:style>
  <w:style w:type="paragraph" w:styleId="Cabealhoerodap27">
    <w:name w:val="Cabeçalho e rodapé27"/>
    <w:basedOn w:val="Normal"/>
    <w:qFormat/>
    <w:pPr/>
    <w:rPr/>
  </w:style>
  <w:style w:type="paragraph" w:styleId="Cabealhoerodap28">
    <w:name w:val="Cabeçalho e rodapé28"/>
    <w:basedOn w:val="Normal"/>
    <w:qFormat/>
    <w:pPr/>
    <w:rPr/>
  </w:style>
  <w:style w:type="paragraph" w:styleId="Cabealhoerodap29">
    <w:name w:val="Cabeçalho e rodapé29"/>
    <w:basedOn w:val="Normal"/>
    <w:qFormat/>
    <w:pPr/>
    <w:rPr/>
  </w:style>
  <w:style w:type="paragraph" w:styleId="Cabealhoerodap30">
    <w:name w:val="Cabeçalho e rodapé30"/>
    <w:basedOn w:val="Normal"/>
    <w:qFormat/>
    <w:pPr/>
    <w:rPr/>
  </w:style>
  <w:style w:type="paragraph" w:styleId="Cabealhoerodap31">
    <w:name w:val="Cabeçalho e rodapé31"/>
    <w:basedOn w:val="Normal"/>
    <w:qFormat/>
    <w:pPr/>
    <w:rPr/>
  </w:style>
  <w:style w:type="paragraph" w:styleId="Cabealhoerodap32">
    <w:name w:val="Cabeçalho e rodapé32"/>
    <w:basedOn w:val="Normal"/>
    <w:qFormat/>
    <w:pPr/>
    <w:rPr/>
  </w:style>
  <w:style w:type="paragraph" w:styleId="Cabealhoerodap33">
    <w:name w:val="Cabeçalho e rodapé33"/>
    <w:basedOn w:val="Normal"/>
    <w:qFormat/>
    <w:pPr/>
    <w:rPr/>
  </w:style>
  <w:style w:type="paragraph" w:styleId="Cabealhoerodap34">
    <w:name w:val="Cabeçalho e rodapé34"/>
    <w:basedOn w:val="Normal"/>
    <w:qFormat/>
    <w:pPr/>
    <w:rPr/>
  </w:style>
  <w:style w:type="paragraph" w:styleId="Cabealhoerodap35">
    <w:name w:val="Cabeçalho e rodapé35"/>
    <w:basedOn w:val="Normal"/>
    <w:qFormat/>
    <w:pPr/>
    <w:rPr/>
  </w:style>
  <w:style w:type="paragraph" w:styleId="Cabealhoerodap36">
    <w:name w:val="Cabeçalho e rodapé36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atabela">
    <w:name w:val="Conteúdo da tabela"/>
    <w:basedOn w:val="Normal"/>
    <w:qFormat/>
    <w:pPr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paragraph" w:styleId="Footer">
    <w:name w:val="footer"/>
    <w:basedOn w:val="CabealhoeRodap"/>
    <w:pPr>
      <w:suppressLineNumbers/>
      <w:tabs>
        <w:tab w:val="clear" w:pos="708"/>
        <w:tab w:val="center" w:pos="5359" w:leader="none"/>
        <w:tab w:val="right" w:pos="10719" w:leader="none"/>
      </w:tabs>
    </w:pPr>
    <w:rPr/>
  </w:style>
  <w:style w:type="paragraph" w:styleId="WW-Padro12">
    <w:name w:val="WW-Padr?o12"/>
    <w:qFormat/>
    <w:pPr>
      <w:widowControl w:val="false"/>
      <w:suppressAutoHyphens w:val="true"/>
      <w:bidi w:val="0"/>
      <w:spacing w:before="0" w:after="0"/>
      <w:jc w:val="left"/>
    </w:pPr>
    <w:rPr>
      <w:rFonts w:ascii=";@Malgun Gothic Semilight" w:hAnsi=";@Malgun Gothic Semilight" w:eastAsia=";@Malgun Gothic Semilight" w:cs=";@Malgun Gothic Semilight"/>
      <w:color w:val="auto"/>
      <w:kern w:val="2"/>
      <w:sz w:val="24"/>
      <w:szCs w:val="24"/>
      <w:lang w:val="pt-BR" w:eastAsia="zh-CN" w:bidi="hi-IN"/>
    </w:rPr>
  </w:style>
  <w:style w:type="paragraph" w:styleId="WW-Padro">
    <w:name w:val="WW-Padr?o"/>
    <w:qFormat/>
    <w:pPr>
      <w:widowControl w:val="false"/>
      <w:suppressAutoHyphens w:val="true"/>
      <w:bidi w:val="0"/>
      <w:spacing w:before="0" w:after="0"/>
      <w:jc w:val="left"/>
    </w:pPr>
    <w:rPr>
      <w:rFonts w:ascii=";Meiryo" w:hAnsi=";Meiryo" w:eastAsia=";Meiryo" w:cs=";Meiryo"/>
      <w:color w:val="auto"/>
      <w:kern w:val="2"/>
      <w:sz w:val="24"/>
      <w:szCs w:val="24"/>
      <w:lang w:val="pt-BR" w:eastAsia="en-US" w:bidi="hi-IN"/>
    </w:rPr>
  </w:style>
  <w:style w:type="numbering" w:styleId="Semlistauser" w:default="1">
    <w:name w:val="Sem lista (user)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bibliotecadigital.trt16.jus.br/server/api/core/bitstreams/21630090-705b-4c02-b822-a2405438681c/content" TargetMode="External"/><Relationship Id="rId4" Type="http://schemas.openxmlformats.org/officeDocument/2006/relationships/hyperlink" Target="https://bibliotecadigital.trt16.jus.br/server/api/core/bitstreams/42947977-f21e-45be-b222-98cced1ddbdc/content" TargetMode="External"/><Relationship Id="rId5" Type="http://schemas.openxmlformats.org/officeDocument/2006/relationships/hyperlink" Target="https://bibliotecadigital.trt16.jus.br/server/api/core/bitstreams/21630090-705b-4c02-b822-a2405438681c/content" TargetMode="External"/><Relationship Id="rId6" Type="http://schemas.openxmlformats.org/officeDocument/2006/relationships/hyperlink" Target="https://bibliotecadigital.trt16.jus.br/server/api/core/bitstreams/9a2126e8-550d-427e-bbcb-8099356462af/content" TargetMode="External"/><Relationship Id="rId7" Type="http://schemas.openxmlformats.org/officeDocument/2006/relationships/image" Target="media/image2.png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header" Target="header3.xml"/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footer" Target="footer3.xml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637</TotalTime>
  <Application>LibreOffice/25.2.6.2$Windows_X86_64 LibreOffice_project/729c5bfe710f5eb71ed3bbde9e06a6065e9c6c5d</Application>
  <AppVersion>15.0000</AppVersion>
  <Pages>1</Pages>
  <Words>229</Words>
  <Characters>1219</Characters>
  <CharactersWithSpaces>1447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2024-11-12T11:53:00Z</dcterms:created>
  <dc:creator>camilo.silva</dc:creator>
  <dc:description/>
  <dc:language>pt-BR</dc:language>
  <cp:lastModifiedBy/>
  <cp:lastPrinted>2025-12-30T16:21:51Z</cp:lastPrinted>
  <dcterms:modified xsi:type="dcterms:W3CDTF">2026-03-11T15:41:39Z</dcterms:modified>
  <cp:revision>131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